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color w:val="auto"/>
          <w:sz w:val="32"/>
          <w:szCs w:val="32"/>
        </w:rPr>
      </w:pPr>
      <w:bookmarkStart w:id="1" w:name="_GoBack"/>
      <w:bookmarkEnd w:id="1"/>
      <w:r>
        <w:rPr>
          <w:rFonts w:ascii="Times New Roman" w:hAnsi="Times New Roman" w:eastAsia="黑体"/>
          <w:color w:val="auto"/>
          <w:sz w:val="32"/>
          <w:szCs w:val="32"/>
          <w:lang w:bidi="ar"/>
        </w:rPr>
        <w:t>附件</w:t>
      </w:r>
    </w:p>
    <w:p>
      <w:pPr>
        <w:keepNext w:val="0"/>
        <w:keepLines w:val="0"/>
        <w:pageBreakBefore w:val="0"/>
        <w:kinsoku/>
        <w:wordWrap/>
        <w:overflowPunct/>
        <w:topLinePunct w:val="0"/>
        <w:autoSpaceDE/>
        <w:autoSpaceDN/>
        <w:bidi w:val="0"/>
        <w:adjustRightInd w:val="0"/>
        <w:snapToGrid w:val="0"/>
        <w:spacing w:line="800" w:lineRule="exact"/>
        <w:jc w:val="center"/>
        <w:rPr>
          <w:rFonts w:hint="eastAsia" w:ascii="Times New Roman" w:hAnsi="Times New Roman" w:eastAsia="方正小标宋简体"/>
          <w:color w:val="auto"/>
          <w:sz w:val="44"/>
          <w:szCs w:val="44"/>
          <w:lang w:eastAsia="zh-CN"/>
        </w:rPr>
      </w:pPr>
      <w:r>
        <w:rPr>
          <w:rFonts w:ascii="Times New Roman" w:hAnsi="Times New Roman" w:eastAsia="方正小标宋简体"/>
          <w:color w:val="auto"/>
          <w:sz w:val="44"/>
          <w:szCs w:val="44"/>
        </w:rPr>
        <w:t>202</w:t>
      </w:r>
      <w:r>
        <w:rPr>
          <w:rFonts w:ascii="Times New Roman" w:hAnsi="Times New Roman" w:eastAsia="方正小标宋简体"/>
          <w:color w:val="auto"/>
          <w:sz w:val="44"/>
          <w:szCs w:val="44"/>
          <w:lang w:eastAsia="zh"/>
        </w:rPr>
        <w:t>5</w:t>
      </w:r>
      <w:r>
        <w:rPr>
          <w:rFonts w:ascii="Times New Roman" w:hAnsi="Times New Roman" w:eastAsia="方正小标宋简体"/>
          <w:color w:val="auto"/>
          <w:sz w:val="44"/>
          <w:szCs w:val="44"/>
        </w:rPr>
        <w:t>年</w:t>
      </w:r>
      <w:r>
        <w:rPr>
          <w:rFonts w:hint="eastAsia" w:ascii="Times New Roman" w:hAnsi="Times New Roman" w:eastAsia="方正小标宋简体"/>
          <w:color w:val="auto"/>
          <w:sz w:val="44"/>
          <w:szCs w:val="44"/>
          <w:lang w:eastAsia="zh-CN"/>
        </w:rPr>
        <w:t>度</w:t>
      </w:r>
      <w:r>
        <w:rPr>
          <w:rFonts w:ascii="Times New Roman" w:hAnsi="Times New Roman" w:eastAsia="方正小标宋简体"/>
          <w:color w:val="auto"/>
          <w:sz w:val="44"/>
          <w:szCs w:val="44"/>
        </w:rPr>
        <w:t>自然资源集约利用考核指标和评分细则</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2"/>
        <w:gridCol w:w="942"/>
        <w:gridCol w:w="1288"/>
        <w:gridCol w:w="787"/>
        <w:gridCol w:w="8911"/>
        <w:gridCol w:w="1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b/>
                <w:i w:val="0"/>
                <w:color w:val="auto"/>
                <w:sz w:val="24"/>
                <w:szCs w:val="24"/>
                <w:u w:val="none"/>
              </w:rPr>
            </w:pPr>
            <w:r>
              <w:rPr>
                <w:rFonts w:hint="default" w:ascii="Times New Roman" w:hAnsi="Times New Roman" w:eastAsia="仿宋_GB2312" w:cs="Times New Roman"/>
                <w:b/>
                <w:i w:val="0"/>
                <w:color w:val="auto"/>
                <w:kern w:val="0"/>
                <w:sz w:val="24"/>
                <w:szCs w:val="24"/>
                <w:u w:val="none"/>
                <w:lang w:val="en-US" w:eastAsia="zh-CN" w:bidi="ar"/>
              </w:rPr>
              <w:t>序号</w:t>
            </w:r>
          </w:p>
        </w:tc>
        <w:tc>
          <w:tcPr>
            <w:tcW w:w="94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b/>
                <w:i w:val="0"/>
                <w:color w:val="auto"/>
                <w:sz w:val="24"/>
                <w:szCs w:val="24"/>
                <w:u w:val="none"/>
              </w:rPr>
            </w:pPr>
            <w:r>
              <w:rPr>
                <w:rFonts w:hint="default" w:ascii="Times New Roman" w:hAnsi="Times New Roman" w:eastAsia="仿宋_GB2312" w:cs="Times New Roman"/>
                <w:b/>
                <w:i w:val="0"/>
                <w:color w:val="auto"/>
                <w:kern w:val="0"/>
                <w:sz w:val="24"/>
                <w:szCs w:val="24"/>
                <w:u w:val="none"/>
                <w:lang w:val="en-US" w:eastAsia="zh-CN" w:bidi="ar"/>
              </w:rPr>
              <w:t>项目</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b/>
                <w:i w:val="0"/>
                <w:color w:val="auto"/>
                <w:sz w:val="24"/>
                <w:szCs w:val="24"/>
                <w:u w:val="none"/>
              </w:rPr>
            </w:pPr>
            <w:r>
              <w:rPr>
                <w:rFonts w:hint="default" w:ascii="Times New Roman" w:hAnsi="Times New Roman" w:eastAsia="仿宋_GB2312" w:cs="Times New Roman"/>
                <w:b/>
                <w:i w:val="0"/>
                <w:color w:val="auto"/>
                <w:kern w:val="0"/>
                <w:sz w:val="24"/>
                <w:szCs w:val="24"/>
                <w:u w:val="none"/>
                <w:lang w:val="en-US" w:eastAsia="zh-CN" w:bidi="ar"/>
              </w:rPr>
              <w:t>指标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b/>
                <w:i w:val="0"/>
                <w:color w:val="auto"/>
                <w:sz w:val="24"/>
                <w:szCs w:val="24"/>
                <w:u w:val="none"/>
              </w:rPr>
            </w:pPr>
            <w:r>
              <w:rPr>
                <w:rFonts w:hint="default" w:ascii="Times New Roman" w:hAnsi="Times New Roman" w:eastAsia="仿宋_GB2312" w:cs="Times New Roman"/>
                <w:b/>
                <w:i w:val="0"/>
                <w:color w:val="auto"/>
                <w:kern w:val="0"/>
                <w:sz w:val="24"/>
                <w:szCs w:val="24"/>
                <w:u w:val="none"/>
                <w:lang w:val="en-US" w:eastAsia="zh-CN" w:bidi="ar"/>
              </w:rPr>
              <w:t>分值</w:t>
            </w:r>
          </w:p>
        </w:tc>
        <w:tc>
          <w:tcPr>
            <w:tcW w:w="8911"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b/>
                <w:i w:val="0"/>
                <w:color w:val="auto"/>
                <w:sz w:val="24"/>
                <w:szCs w:val="24"/>
                <w:u w:val="none"/>
              </w:rPr>
            </w:pPr>
            <w:r>
              <w:rPr>
                <w:rFonts w:hint="default" w:ascii="Times New Roman" w:hAnsi="Times New Roman" w:eastAsia="仿宋_GB2312" w:cs="Times New Roman"/>
                <w:b/>
                <w:i w:val="0"/>
                <w:color w:val="auto"/>
                <w:kern w:val="0"/>
                <w:sz w:val="24"/>
                <w:szCs w:val="24"/>
                <w:u w:val="none"/>
                <w:lang w:val="en-US" w:eastAsia="zh-CN" w:bidi="ar"/>
              </w:rPr>
              <w:t>计分规则</w:t>
            </w:r>
          </w:p>
        </w:tc>
        <w:tc>
          <w:tcPr>
            <w:tcW w:w="1338"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b/>
                <w:i w:val="0"/>
                <w:color w:val="auto"/>
                <w:sz w:val="24"/>
                <w:szCs w:val="24"/>
                <w:u w:val="none"/>
              </w:rPr>
            </w:pPr>
            <w:r>
              <w:rPr>
                <w:rFonts w:hint="default" w:ascii="Times New Roman" w:hAnsi="Times New Roman" w:eastAsia="仿宋_GB2312" w:cs="Times New Roman"/>
                <w:b/>
                <w:i w:val="0"/>
                <w:color w:val="auto"/>
                <w:kern w:val="0"/>
                <w:sz w:val="24"/>
                <w:szCs w:val="24"/>
                <w:u w:val="none"/>
                <w:lang w:val="en-US" w:eastAsia="zh-CN" w:bidi="ar"/>
              </w:rPr>
              <w:t>评分单位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w:t>
            </w:r>
          </w:p>
        </w:tc>
        <w:tc>
          <w:tcPr>
            <w:tcW w:w="942" w:type="dxa"/>
            <w:vMerge w:val="restart"/>
            <w:tcBorders>
              <w:top w:val="single" w:color="000000" w:sz="8" w:space="0"/>
              <w:left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水资源节约（20分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万元GDP用水量降幅</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万元GDP用水量下降率达到“十四五”期末控制目标且较上年度下降的，得6分；达到“十四五”期末控制目标但较上年度未下降的，每增加1%扣0.3分。数据来源：目标下达文件、用水统计调查直报系统、统计快报。</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0"/>
                <w:sz w:val="24"/>
                <w:szCs w:val="24"/>
                <w:u w:val="none"/>
                <w:lang w:val="en-US" w:eastAsia="zh-CN" w:bidi="ar"/>
              </w:rPr>
            </w:pPr>
            <w:r>
              <w:rPr>
                <w:rFonts w:hint="default" w:ascii="Times New Roman" w:hAnsi="Times New Roman" w:eastAsia="仿宋_GB2312" w:cs="Times New Roman"/>
                <w:i w:val="0"/>
                <w:color w:val="auto"/>
                <w:kern w:val="0"/>
                <w:sz w:val="24"/>
                <w:szCs w:val="24"/>
                <w:u w:val="none"/>
                <w:lang w:val="en-US" w:eastAsia="zh-CN" w:bidi="ar"/>
              </w:rPr>
              <w:t>2</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用水总量控制</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3</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达到年度控制目标值的得３分；未达到的不得分。若用水统计调查中存在统计数据失真或造假的，发现一例扣0.5分。数据来源：目标下达文件及用水统计调查直报系统。</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0"/>
                <w:sz w:val="24"/>
                <w:szCs w:val="24"/>
                <w:u w:val="none"/>
                <w:lang w:val="en-US" w:eastAsia="zh-CN" w:bidi="ar"/>
              </w:rPr>
            </w:pPr>
            <w:r>
              <w:rPr>
                <w:rFonts w:hint="default" w:ascii="Times New Roman" w:hAnsi="Times New Roman" w:eastAsia="仿宋_GB2312" w:cs="Times New Roman"/>
                <w:i w:val="0"/>
                <w:color w:val="auto"/>
                <w:kern w:val="0"/>
                <w:sz w:val="24"/>
                <w:szCs w:val="24"/>
                <w:u w:val="none"/>
                <w:lang w:val="en-US" w:eastAsia="zh-CN" w:bidi="ar"/>
              </w:rPr>
              <w:t>3</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再生水利用率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再生水利用率未达到当年目标值的，得２分，每低1%，扣0.1分。若再生水利用项目未完成年度建设任务的，未完成一例扣0.3分。数据来源：浙江省2025年重点用水领域水效提升计划、城市运行安全数字化管理系统、日常管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kern w:val="2"/>
                <w:sz w:val="24"/>
                <w:szCs w:val="24"/>
                <w:u w:val="none"/>
                <w:lang w:val="en-US" w:eastAsia="zh-CN" w:bidi="ar-SA"/>
              </w:rPr>
            </w:pPr>
            <w:r>
              <w:rPr>
                <w:rFonts w:hint="default" w:ascii="Times New Roman" w:hAnsi="Times New Roman" w:eastAsia="仿宋_GB2312" w:cs="Times New Roman"/>
                <w:i w:val="0"/>
                <w:color w:val="auto"/>
                <w:kern w:val="0"/>
                <w:sz w:val="24"/>
                <w:szCs w:val="24"/>
                <w:u w:val="none"/>
                <w:lang w:val="en-US" w:eastAsia="zh-CN" w:bidi="ar"/>
              </w:rPr>
              <w:t>省建设厅、省水利厅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万元工业增加值用水量降幅</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万元工业增加值用水量下降率达到“十四五”期末控制目标且较上年度下降的，得2分。达到“十四五”期末控制目标但较上年度未下降的，每增加1%扣0.2分。数据来源：目标下达文件、用水统计调查直报系统、统计快报。</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5</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农田灌溉水有效利用系数</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各设区市农田灌溉水有效利用系数达到年度控制值的，得2分，若存在样点灌区选取不合理，典型田块选取不规范，净灌溉用水量未采用取土法、观测分析法等实测方法获取等影响系数结果可靠程度的情况，每类问题扣0.2分，扣完为止。数据来源：系数测算分析年度成果报告，浙江省水利工程运管平台。</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工业高耗水行业重复利用率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区域内造纸、化工、石化、钢铁、电力、纺织行业重复用水率分别达到 85%、96%、97.5%、97.5%、97%、45%，每低2个百分点扣0.1分，扣完为止，每个行业扣分最高不超过0.5分。若重点工业企业用水定额对标不达标的，每发现一例扣0.1分。数据来源：浙江省2025年重点用水领域水效提升计划、规上工业企业统计直报系统（由省统计局提供）。</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省经信厅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0"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7</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城镇公共供水水资源有效利用率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3</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根据城镇公共供水企业销售水量和取水量比值的现状水平和发展水平各50%权重，按照功效系数法赋分。若存在城市公共供水管网漏损率未达到当年目标值的，按每超过1%扣0.1分，扣完为止；若管网漏损治理任务未完成的，未完成一项扣0.3分。数据来源：浙江省2025年重点用水领域水效提升计划、用水统计调查直报系统、城市运行安全数字化管理系统。</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省水利厅、省建设厅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8</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水资源保护（7分）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河湖及大中型水库生态流量保障情况</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设区市重点河湖、大中型水库生态流量保障达到年度目标要求的，各得2分（其中嘉兴市考核重点河湖生态流量保障情况，舟山市考核大中型水库生态流量保障情况，均按4分计分）。重点河湖生态流量保障按各考核断面达标比例加权赋分，其中，单个考核断面达标比例达到100%的，得分系数为1；大于90%、小于100%的，得分系数为0.8；小于90%的，不得分。大中型水库生态流量保障情况，按照监测站点和泄放设施建设任务完成比例赋分。数据来源：浙江省江河湖库平台、任务下达文件、日常管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30"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9</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小水电站生态流量达标率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3</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小水电站生态流量泄放“三率”（完整率、及时率、达标率）、实时监控率、小水电站生态流量泄放情况均完成目标的，得3分。其中小水电站生态流量泄放“三率”1分，存在未达到80%的县（市、区），按未达到的县（市、区）数量比例扣分；小水电站生态流量实时监控率1分，存在未达到80%的县（市、区），按未达到的县（市、区）数量比例扣分；生态流量泄放年度不合格电站每座扣0.1分，泄放问题未按时完成整改的每座扣0.05分，扣完1分为止。数据来源：浙江省水利工程运管平台。</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10</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水资源开发利用</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（8分）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区域供水安全程度</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sz w:val="24"/>
                <w:szCs w:val="24"/>
                <w:u w:val="none"/>
              </w:rPr>
              <w:t>按照区域优质水可供水量比例和农村供水水质检测频次、农水供水水质达标率、农村供水集中整治情况赋分。区域本地现状优质水和域外引水现状可供水量之和与规划优质水需水量比值≥1的，得3分；若0.85≤比值＜1，扣0.2分，若0.6≤比值＜0.85，扣0.4分，若比值≤0.6，扣0.5分。农村供水水质检测频次1分，符合水利部和省级有关规定的得1分，未达到频次要求的，按比例扣分。农村供水水质达标率1分，数值≥98%的，得1分；数值95%≤比值＜98%，按内插比率得分；数值＜95%的,不得分。农村供水集中整治情况1分，排查100%覆盖的，得0.5分；问题整改100%完成的，得0.5分，未完成的，均按比例扣分。数据来源：日常管理、省（市）水资源总体规划、浙里九龙联动治水“浙水畅通”应用、浙里九龙联动治水“浙水好喝”应用，农村供水水质达标率由省疾控局提供。</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11</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县级以上饮用水水源地安全程度</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按照各县级以上饮用水水源地安全程度加权赋分，其中单个水源地评估为优的，得分系数为1；良好的为0.8；合格的为0.6；不合格的不得分。不具备两个以上相对独立控制取水的水源地且未与相邻地区签订应急饮用水源协议的，每1例扣0.2分。数据来源：浙里九龙联动治水“取水”应用。</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0"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12</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河湖长履职尽责（17分）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水域面积变化率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各设区市当年水域总面积未减少，得4分;水域总面积减少0-10万平方米之间的，按减少比例赋分；水域总面积减少10万平方米以上的,得0分。各设区市所辖县(市、区)当年水域总面积存在减少的，每减少一个县(市、区)扣0.2分，最高扣1分各设区市所辖县(市、区)当年水域总面积存在减少的，每减少一个县(市、区)扣0.2分，最高扣1分。数据来源：浙里九龙联动治水“浙水美丽（河长在线）”应用。</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13</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河湖长挂联问题办结率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市级河湖长对责任河湖组织开展重大问题排查建立重大问题清单并督促协调责任部门进行问题整改；市级河湖长对省级及以上有关部门检查督查发现问题、今日聚焦等省级以上主流媒体曝光河湖问题协调督促整改；市级河湖长对交办单、督办单、提示单等问题协调督促整改。上述问题在规定期限内完成整改且全部办结的，得4分，90%≤办结率＜100%，按比例赋分，逾期完成整改的每一起扣0.1分，最多扣0.5分；办结率＜90%，得0分。数据来源：浙里九龙联动治水“浙水美丽（河长在线）”应用</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14</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河湖健康状况</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3</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按照年度河湖健康评价等级为非常健康的数量与年度开展评价总数的比例赋分，非常健康比例≥40%，得3分，每减少5％扣0.1分，亚健康河湖每一条扣0.1分、不健康河湖每条扣0.2分、病态河湖每一条扣0.3分,最高扣0.6分；未建立河湖健康档案的每一条扣0.1分，最高扣0.5分。数据来源：水利应用门户-河长制（河湖健康档案管理）、浙里九龙联动治水“浙水美丽（河长在线）”应用。</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15</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涉水问题整改率</w:t>
            </w:r>
          </w:p>
        </w:tc>
        <w:tc>
          <w:tcPr>
            <w:tcW w:w="787"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级及以上发现取用水问题、河湖“四乱”问题、水土流失问题按规定要求完成整改的得满分，未按规定要求整改的按整改比例赋分。每类问题扣分最高不超过2分。数据来源：水利部取用水管理平台、浙江省水资源管理数字化应用、水利部“河湖长制管理信息系统”、浙里九龙联动治水“浙水美丽”（水智慧管）应用、水土保持数字化管理应用、日常管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3"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16</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水土流失防治</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（8分）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水土保持遥感图斑总面积变动率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设区市当年水利部下发的扰动图斑总面积较上年未增加的，以及问题图斑全部完成整改的，各得2分。扰动图斑总面积比值≤1的得2分，其余每增加10%扣0.2分，最多扣2分；问题图斑整改率为100%的得2分，其余每减少10%扣0.2分，最多扣2分。数据来源：水利部遥感监测数据、水土保持数字化管理应用。</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9"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17</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水土流失治理完成率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设区市水土流失综合治理面积、小流域综合治理任务达到年度目标值的，各得2分。水土流失治理面积未完成的，按比例得分；未完成小流域综合治理任务的，每条扣0.2分。数据来源：省级水土保持动态监测、水土保持数字化管理应用。</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18</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国土绿化（8分）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国土绿化任务完成率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国土绿化完成情况得分为=4×国土绿化项目完成率+2×营造林任务完成率。完成率≥100%得满分，90%≤完成率＜100%得分按比例赋分。完成率＜90%的得该项分值的60%。无国土绿化项目的设区市按缺项计分。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7"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森林可持续经营（森林修复）完成率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完成率=基础分（80%）+项目入库（10%）+项目实施（10%）。完成率≥100%得满分，80%≤完成率＜100%得分按完成率×此项分值计，完成率＜80%的得该项分值的60%。</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20</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资源保护（16分）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林草湿资源状况</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8</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按照综合指数法计算得分，4×森林覆盖率指数（水平指数×0.5+发展指数×0.5）+4×森林蓄积量指数（水平指数×0.5+发展指数×0.5）：（1）水平指数=（实际值-最小值）/（最大值-最小值）×0.3+0.7。（2）发展指数=（增率实际值-增率最小值）/（增率最大值-增率最小值）×0.3+0.7。注：森林覆盖率在80%以上，且与上年度相比不下降的，森林覆盖率指数取1，下降的按（1-下降率绝对值×30）取值，最小值≥0.7。</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21</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涉林违法违规问题核查整改率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包括林地、草地、湿地、自然保护地和野生动植物等违法违规问题核查整改情况。核查整改率=2.5×核查结果准确率+3.5×问题整改销号率：60%≤准确率（销号率）＜100%得分按准确率（销号率）×此项分值计，准确率（销号率）＜60%的得该项分值的60%。</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22</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自然保护地建设规范化率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60%≤规范化率≤100%得分按规范化率×此项分值计，规范化率＜60%的得该项分值的60%。</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9"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23</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深化集体林改和产业发展（8分）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集体林权制度改革</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标准地建设与林权收储率，按照功效系数法计分。得分=1.8+0.2×功效系数。功效系数=实际值-最小值/最大值-最小值，均按面积计算，以强村富民系统提取矢量数据为准。无集体林权制度改革任务的设区市按缺项计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24</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油茶保供任务完成率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4</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完成率=年度任务完成面积/年度任务面积×100%。完成率≥100%得满分，80%≤完成率＜100%得分按完成率×此项分值计，完成率＜80%的得该项分值的60%。无油茶保供任务的设区市按缺项计分。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4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25</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林业产业总产值增长率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按权重通过功效系数法计分。得分=1.2+总产值功效值×0.3+增率功效值×0.5。功效系数=本市当年值-最小值/最大值-最小值。最大、最小值是指全省各市林业产业总产值（增率）排序的最高、最低值。</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7"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26</w:t>
            </w:r>
          </w:p>
        </w:tc>
        <w:tc>
          <w:tcPr>
            <w:tcW w:w="942" w:type="dxa"/>
            <w:vMerge w:val="restart"/>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林长履职尽责（8分）</w:t>
            </w: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各市林长挂联问题办结率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5</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80%≤办结率＜100%得分按办结率×此项分值计，办结率＜80%的得该项分值的60%。</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27</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林业站建设规范化率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1.8</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80%≤规范化率＜100%得分按规范化率×此项分值计，规范化率＜80%的得该项分值的60%。</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812"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28</w:t>
            </w:r>
          </w:p>
        </w:tc>
        <w:tc>
          <w:tcPr>
            <w:tcW w:w="942" w:type="dxa"/>
            <w:vMerge w:val="continue"/>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仿宋_GB2312" w:cs="Times New Roman"/>
                <w:i w:val="0"/>
                <w:color w:val="auto"/>
                <w:sz w:val="24"/>
                <w:szCs w:val="24"/>
                <w:u w:val="none"/>
              </w:rPr>
            </w:pPr>
          </w:p>
        </w:tc>
        <w:tc>
          <w:tcPr>
            <w:tcW w:w="128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护林员体系建设到位率</w:t>
            </w:r>
          </w:p>
        </w:tc>
        <w:tc>
          <w:tcPr>
            <w:tcW w:w="787" w:type="dxa"/>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1.2</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到位率≥90%得满分，80%≤到位率＜90%得分按到位率×此项分值计，到位率＜80%的得该项分值的60%。</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15" w:hRule="atLeast"/>
          <w:jc w:val="center"/>
        </w:trPr>
        <w:tc>
          <w:tcPr>
            <w:tcW w:w="3829"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加分项（5分）</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对水资源管理、林长制、河湖长制、水土保持目标责任制领域取得重大改革创新或省级以上表彰奖励加分。</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（1）对贯彻落实习近平总书记重要指示批示精神和党中央、国务院重大决策部署取得显著成效，受到党中央、国务院及省部级表彰奖励的设区市，每项加0.5—1分。</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（2）对争取到省部级以上现场会、试点，或被省部级以上单位发文推广及列入典型案例的，每项加0.1—0.5分。</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3）对推进水资源管理、林长制、河湖长制、水土保持目标责任制领域重点工作成效突出的设区市，或水生态产品价值实现、重大水资源配置（含分质供水）工程实施、“浙土平衡”改革等取得重要突破的，每项加0.1—0.5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省水利厅、省林业局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jc w:val="center"/>
        </w:trPr>
        <w:tc>
          <w:tcPr>
            <w:tcW w:w="3829"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line="38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扣分项（5分）</w:t>
            </w:r>
          </w:p>
        </w:tc>
        <w:tc>
          <w:tcPr>
            <w:tcW w:w="891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80" w:lineRule="exact"/>
              <w:ind w:left="0" w:right="0"/>
              <w:jc w:val="both"/>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对水资源管理、林长制、河湖长制、水土保持目标责任制领域发生重大问题或产生较大负面影响</w:t>
            </w:r>
            <w:r>
              <w:rPr>
                <w:rFonts w:hint="default" w:ascii="Times New Roman" w:hAnsi="Times New Roman" w:eastAsia="仿宋_GB2312" w:cs="Times New Roman"/>
                <w:i w:val="0"/>
                <w:color w:val="auto"/>
                <w:kern w:val="0"/>
                <w:sz w:val="24"/>
                <w:szCs w:val="24"/>
                <w:u w:val="none"/>
                <w:lang w:eastAsia="zh-CN" w:bidi="ar"/>
              </w:rPr>
              <w:t>，以及林长制领域发生林业灾害防控（含互花米草）、野生动植物和古树古道保护、安全生产等重大问题或产生较大负面影响减分。</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（1）对落实习近平总书记重要指示批示及其他中央领导同志指示批示要求，党中央、国务院部署的重大任务落实不力的，每项减0.5—1分。</w:t>
            </w:r>
            <w:r>
              <w:rPr>
                <w:rFonts w:hint="default" w:ascii="Times New Roman" w:hAnsi="Times New Roman" w:eastAsia="仿宋_GB2312" w:cs="Times New Roman"/>
                <w:i w:val="0"/>
                <w:color w:val="auto"/>
                <w:kern w:val="0"/>
                <w:sz w:val="24"/>
                <w:szCs w:val="24"/>
                <w:u w:val="none"/>
                <w:lang w:val="en-US" w:eastAsia="zh-CN" w:bidi="ar"/>
              </w:rPr>
              <w:br w:type="textWrapping"/>
            </w:r>
            <w:r>
              <w:rPr>
                <w:rFonts w:hint="default" w:ascii="Times New Roman" w:hAnsi="Times New Roman" w:eastAsia="仿宋_GB2312" w:cs="Times New Roman"/>
                <w:i w:val="0"/>
                <w:color w:val="auto"/>
                <w:kern w:val="0"/>
                <w:sz w:val="24"/>
                <w:szCs w:val="24"/>
                <w:u w:val="none"/>
                <w:lang w:val="en-US" w:eastAsia="zh-CN" w:bidi="ar"/>
              </w:rPr>
              <w:t>（2）对巡视、督察、审计、信访、重大舆情、日常监管等发现问题，且产生较大负面影响的，每起减0.1—0.5分。</w:t>
            </w:r>
          </w:p>
        </w:tc>
        <w:tc>
          <w:tcPr>
            <w:tcW w:w="133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仿宋_GB2312" w:cs="Times New Roman"/>
                <w:i w:val="0"/>
                <w:color w:val="auto"/>
                <w:sz w:val="24"/>
                <w:szCs w:val="24"/>
                <w:u w:val="none"/>
              </w:rPr>
            </w:pPr>
            <w:r>
              <w:rPr>
                <w:rFonts w:hint="default" w:ascii="Times New Roman" w:hAnsi="Times New Roman" w:eastAsia="仿宋_GB2312" w:cs="Times New Roman"/>
                <w:i w:val="0"/>
                <w:color w:val="auto"/>
                <w:kern w:val="0"/>
                <w:sz w:val="24"/>
                <w:szCs w:val="24"/>
                <w:u w:val="none"/>
                <w:lang w:val="en-US" w:eastAsia="zh-CN" w:bidi="ar"/>
              </w:rPr>
              <w:t>省水利厅、省林业局</w:t>
            </w:r>
          </w:p>
        </w:tc>
      </w:tr>
    </w:tbl>
    <w:p>
      <w:pPr>
        <w:pStyle w:val="2"/>
        <w:rPr>
          <w:rFonts w:hint="eastAsia"/>
          <w:lang w:val="en-US" w:eastAsia="zh-CN"/>
        </w:rPr>
      </w:pPr>
    </w:p>
    <w:p>
      <w:pPr>
        <w:jc w:val="left"/>
        <w:rPr>
          <w:rFonts w:hint="eastAsia" w:ascii="仿宋_GB2312" w:hAnsi="仿宋_GB2312" w:eastAsia="仿宋_GB2312" w:cs="仿宋_GB2312"/>
          <w:sz w:val="32"/>
          <w:szCs w:val="32"/>
          <w:lang w:val="en-US" w:eastAsia="zh-CN"/>
        </w:rPr>
      </w:pPr>
    </w:p>
    <w:p>
      <w:pPr>
        <w:spacing w:line="560" w:lineRule="exact"/>
        <w:ind w:left="319" w:leftChars="152" w:firstLine="4160" w:firstLineChars="1300"/>
        <w:jc w:val="left"/>
        <w:rPr>
          <w:rFonts w:ascii="Times New Roman" w:hAnsi="Times New Roman" w:eastAsia="仿宋_GB2312"/>
          <w:sz w:val="32"/>
          <w:szCs w:val="32"/>
        </w:rPr>
      </w:pPr>
    </w:p>
    <w:sectPr>
      <w:footerReference r:id="rId3" w:type="default"/>
      <w:footerReference r:id="rId4" w:type="even"/>
      <w:pgSz w:w="16838" w:h="11906" w:orient="landscape"/>
      <w:pgMar w:top="1502" w:right="2154" w:bottom="1502" w:left="1984" w:header="850" w:footer="1474"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560"/>
      <w:jc w:val="right"/>
      <w:rPr>
        <w:rFonts w:ascii="Times New Roman" w:hAnsi="Times New Roman"/>
      </w:rPr>
    </w:pPr>
    <w:r>
      <w:rPr>
        <w:rFonts w:ascii="Times New Roman" w:hAnsi="Times New Roman"/>
        <w:sz w:val="28"/>
      </w:rPr>
      <w:t xml:space="preserve">— </w:t>
    </w:r>
    <w:r>
      <w:rPr>
        <w:rFonts w:ascii="Times New Roman" w:hAnsi="Times New Roman"/>
        <w:sz w:val="28"/>
      </w:rPr>
      <w:fldChar w:fldCharType="begin"/>
    </w:r>
    <w:r>
      <w:rPr>
        <w:rStyle w:val="9"/>
        <w:rFonts w:ascii="Times New Roman" w:hAnsi="Times New Roman"/>
        <w:sz w:val="28"/>
      </w:rPr>
      <w:instrText xml:space="preserve"> PAGE </w:instrText>
    </w:r>
    <w:r>
      <w:rPr>
        <w:rFonts w:ascii="Times New Roman" w:hAnsi="Times New Roman"/>
        <w:sz w:val="28"/>
      </w:rPr>
      <w:fldChar w:fldCharType="separate"/>
    </w:r>
    <w:r>
      <w:rPr>
        <w:rStyle w:val="9"/>
        <w:rFonts w:ascii="Times New Roman" w:hAnsi="Times New Roman"/>
        <w:sz w:val="28"/>
      </w:rPr>
      <w:t>2</w:t>
    </w:r>
    <w:r>
      <w:rPr>
        <w:rFonts w:ascii="Times New Roman" w:hAnsi="Times New Roman"/>
        <w:sz w:val="28"/>
      </w:rPr>
      <w:fldChar w:fldCharType="end"/>
    </w:r>
    <w:r>
      <w:rPr>
        <w:rFonts w:ascii="Times New Roman" w:hAnsi="Times New Roman"/>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0"/>
      <w:rPr>
        <w:rFonts w:ascii="Times New Roman" w:hAnsi="Times New Roman"/>
      </w:rPr>
    </w:pPr>
    <w:bookmarkStart w:id="0" w:name="OLE_LINK2"/>
    <w:r>
      <w:rPr>
        <w:rFonts w:ascii="Times New Roman" w:hAnsi="Times New Roman"/>
        <w:sz w:val="28"/>
      </w:rPr>
      <w:t xml:space="preserve">— </w:t>
    </w:r>
    <w:r>
      <w:rPr>
        <w:rFonts w:ascii="Times New Roman" w:hAnsi="Times New Roman"/>
        <w:sz w:val="28"/>
      </w:rPr>
      <w:fldChar w:fldCharType="begin"/>
    </w:r>
    <w:r>
      <w:rPr>
        <w:rStyle w:val="9"/>
        <w:rFonts w:ascii="Times New Roman" w:hAnsi="Times New Roman"/>
        <w:sz w:val="28"/>
      </w:rPr>
      <w:instrText xml:space="preserve"> PAGE </w:instrText>
    </w:r>
    <w:r>
      <w:rPr>
        <w:rFonts w:ascii="Times New Roman" w:hAnsi="Times New Roman"/>
        <w:sz w:val="28"/>
      </w:rPr>
      <w:fldChar w:fldCharType="separate"/>
    </w:r>
    <w:r>
      <w:rPr>
        <w:rStyle w:val="9"/>
        <w:rFonts w:ascii="Times New Roman" w:hAnsi="Times New Roman"/>
        <w:sz w:val="28"/>
      </w:rPr>
      <w:t>2</w:t>
    </w:r>
    <w:r>
      <w:rPr>
        <w:rFonts w:ascii="Times New Roman" w:hAnsi="Times New Roman"/>
        <w:sz w:val="28"/>
      </w:rPr>
      <w:fldChar w:fldCharType="end"/>
    </w:r>
    <w:r>
      <w:rPr>
        <w:rFonts w:ascii="Times New Roman" w:hAnsi="Times New Roman"/>
        <w:sz w:val="28"/>
      </w:rPr>
      <w:t xml:space="preserve"> —</w:t>
    </w:r>
    <w:bookmarkEnd w:id="0"/>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evenAndOddHeaders w:val="1"/>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590"/>
    <w:rsid w:val="00131298"/>
    <w:rsid w:val="00252226"/>
    <w:rsid w:val="002E0E3D"/>
    <w:rsid w:val="002F430F"/>
    <w:rsid w:val="003C0ACA"/>
    <w:rsid w:val="00445FF6"/>
    <w:rsid w:val="005572E5"/>
    <w:rsid w:val="00763FCB"/>
    <w:rsid w:val="007B3FA5"/>
    <w:rsid w:val="007D2BB9"/>
    <w:rsid w:val="0087067D"/>
    <w:rsid w:val="00A460FA"/>
    <w:rsid w:val="00A9790D"/>
    <w:rsid w:val="00BB4B6B"/>
    <w:rsid w:val="00C21742"/>
    <w:rsid w:val="00CC18AC"/>
    <w:rsid w:val="00EB5590"/>
    <w:rsid w:val="02E46F38"/>
    <w:rsid w:val="02EC5B0C"/>
    <w:rsid w:val="05884CD0"/>
    <w:rsid w:val="08B1749C"/>
    <w:rsid w:val="0BFF0F1E"/>
    <w:rsid w:val="0D2831D0"/>
    <w:rsid w:val="107147B6"/>
    <w:rsid w:val="10A914CC"/>
    <w:rsid w:val="10AC3EF2"/>
    <w:rsid w:val="14421D84"/>
    <w:rsid w:val="160863F5"/>
    <w:rsid w:val="1BFF26C1"/>
    <w:rsid w:val="1D107D9C"/>
    <w:rsid w:val="1DD21A2F"/>
    <w:rsid w:val="1DFDFA51"/>
    <w:rsid w:val="1EB74D1A"/>
    <w:rsid w:val="1F241872"/>
    <w:rsid w:val="22885BF9"/>
    <w:rsid w:val="245A02F0"/>
    <w:rsid w:val="245F41EC"/>
    <w:rsid w:val="26B33AB1"/>
    <w:rsid w:val="2A81543F"/>
    <w:rsid w:val="2AA61E89"/>
    <w:rsid w:val="2CC81A40"/>
    <w:rsid w:val="2D6BAC36"/>
    <w:rsid w:val="2E233829"/>
    <w:rsid w:val="2FF772B0"/>
    <w:rsid w:val="313C01C2"/>
    <w:rsid w:val="32175F71"/>
    <w:rsid w:val="328F23F1"/>
    <w:rsid w:val="32C3105F"/>
    <w:rsid w:val="32CD697B"/>
    <w:rsid w:val="36AE6DEC"/>
    <w:rsid w:val="3B86716F"/>
    <w:rsid w:val="3D4B2D3D"/>
    <w:rsid w:val="482C392B"/>
    <w:rsid w:val="4B4D51E2"/>
    <w:rsid w:val="4C69161F"/>
    <w:rsid w:val="4DDF7FB2"/>
    <w:rsid w:val="51284AA6"/>
    <w:rsid w:val="519D0BC7"/>
    <w:rsid w:val="51EA075C"/>
    <w:rsid w:val="55EB89BF"/>
    <w:rsid w:val="57130113"/>
    <w:rsid w:val="57FA7DB9"/>
    <w:rsid w:val="58723552"/>
    <w:rsid w:val="5AE66DAA"/>
    <w:rsid w:val="5DDEAEE3"/>
    <w:rsid w:val="5FBF3105"/>
    <w:rsid w:val="5FD7444E"/>
    <w:rsid w:val="5FDC3217"/>
    <w:rsid w:val="5FEED609"/>
    <w:rsid w:val="61E12B98"/>
    <w:rsid w:val="67412616"/>
    <w:rsid w:val="67FE6CDF"/>
    <w:rsid w:val="6A2D2247"/>
    <w:rsid w:val="6A4B69C0"/>
    <w:rsid w:val="6ACE072A"/>
    <w:rsid w:val="6DF74734"/>
    <w:rsid w:val="6EC16837"/>
    <w:rsid w:val="6ECA746E"/>
    <w:rsid w:val="6FE54B75"/>
    <w:rsid w:val="6FF864D1"/>
    <w:rsid w:val="74E05B08"/>
    <w:rsid w:val="77930F93"/>
    <w:rsid w:val="77AF5E8D"/>
    <w:rsid w:val="798B1ABF"/>
    <w:rsid w:val="79F95308"/>
    <w:rsid w:val="7BAF9C0B"/>
    <w:rsid w:val="7C8B3520"/>
    <w:rsid w:val="7CFF6CE6"/>
    <w:rsid w:val="7D7525DB"/>
    <w:rsid w:val="7E9FEA98"/>
    <w:rsid w:val="7EF358C8"/>
    <w:rsid w:val="7FE7C5BE"/>
    <w:rsid w:val="7FF7DBD4"/>
    <w:rsid w:val="8FBE7063"/>
    <w:rsid w:val="B7FECC22"/>
    <w:rsid w:val="C7FFEF62"/>
    <w:rsid w:val="DF375A57"/>
    <w:rsid w:val="E7FF24A3"/>
    <w:rsid w:val="EFBB6261"/>
    <w:rsid w:val="F5931FE6"/>
    <w:rsid w:val="FC3D6714"/>
    <w:rsid w:val="FF78E536"/>
    <w:rsid w:val="FFBF4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First Indent"/>
    <w:next w:val="1"/>
    <w:qFormat/>
    <w:uiPriority w:val="0"/>
    <w:pPr>
      <w:widowControl w:val="0"/>
      <w:spacing w:after="120"/>
      <w:ind w:firstLine="420" w:firstLineChars="100"/>
      <w:jc w:val="both"/>
    </w:pPr>
    <w:rPr>
      <w:rFonts w:ascii="Calibri" w:hAnsi="Calibri" w:eastAsia="宋体" w:cs="Times New Roman"/>
      <w:kern w:val="2"/>
      <w:sz w:val="32"/>
      <w:szCs w:val="24"/>
      <w:lang w:val="en-US" w:eastAsia="zh-CN" w:bidi="ar-SA"/>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szCs w:val="22"/>
    </w:rPr>
  </w:style>
  <w:style w:type="character" w:styleId="9">
    <w:name w:val="page number"/>
    <w:qFormat/>
    <w:uiPriority w:val="0"/>
  </w:style>
  <w:style w:type="character" w:styleId="10">
    <w:name w:val="Hyperlink"/>
    <w:qFormat/>
    <w:uiPriority w:val="0"/>
    <w:rPr>
      <w:color w:val="0000FF"/>
      <w:u w:val="single"/>
    </w:rPr>
  </w:style>
  <w:style w:type="paragraph" w:customStyle="1" w:styleId="11">
    <w:name w:val="一级标题"/>
    <w:basedOn w:val="1"/>
    <w:qFormat/>
    <w:uiPriority w:val="0"/>
    <w:pPr>
      <w:snapToGrid w:val="0"/>
      <w:jc w:val="center"/>
      <w:outlineLvl w:val="0"/>
    </w:pPr>
    <w:rPr>
      <w:rFonts w:ascii="方正小标宋简体" w:eastAsia="方正小标宋简体"/>
      <w:snapToGrid w:val="0"/>
      <w:kern w:val="0"/>
      <w:sz w:val="44"/>
      <w:szCs w:val="44"/>
    </w:rPr>
  </w:style>
  <w:style w:type="paragraph" w:customStyle="1" w:styleId="12">
    <w:name w:val="正文01"/>
    <w:basedOn w:val="1"/>
    <w:qFormat/>
    <w:uiPriority w:val="0"/>
    <w:pPr>
      <w:adjustRightInd w:val="0"/>
      <w:snapToGrid w:val="0"/>
      <w:spacing w:line="560" w:lineRule="exact"/>
      <w:ind w:firstLine="200" w:firstLineChars="200"/>
    </w:pPr>
    <w:rPr>
      <w:rFonts w:ascii="仿宋_GB2312" w:eastAsia="仿宋_GB2312"/>
      <w:snapToGrid w:val="0"/>
      <w:color w:val="000000"/>
      <w:kern w:val="0"/>
    </w:rPr>
  </w:style>
  <w:style w:type="paragraph" w:customStyle="1" w:styleId="13">
    <w:name w:val="_Style 12"/>
    <w:unhideWhenUsed/>
    <w:qFormat/>
    <w:uiPriority w:val="99"/>
    <w:rPr>
      <w:rFonts w:ascii="Calibri" w:hAnsi="Calibri" w:eastAsia="宋体" w:cs="Times New Roman"/>
      <w:kern w:val="2"/>
      <w:sz w:val="21"/>
      <w:szCs w:val="24"/>
      <w:lang w:val="en-US" w:eastAsia="zh-CN" w:bidi="ar-SA"/>
    </w:rPr>
  </w:style>
  <w:style w:type="character" w:customStyle="1" w:styleId="14">
    <w:name w:val="font01"/>
    <w:basedOn w:val="8"/>
    <w:qFormat/>
    <w:uiPriority w:val="0"/>
    <w:rPr>
      <w:rFonts w:hint="eastAsia" w:ascii="仿宋_GB2312" w:eastAsia="仿宋_GB2312" w:cs="仿宋_GB2312"/>
      <w:color w:val="FF0000"/>
      <w:sz w:val="32"/>
      <w:szCs w:val="32"/>
      <w:u w:val="none"/>
    </w:rPr>
  </w:style>
  <w:style w:type="paragraph" w:customStyle="1" w:styleId="15">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871</Words>
  <Characters>895</Characters>
  <Lines>78</Lines>
  <Paragraphs>21</Paragraphs>
  <TotalTime>22</TotalTime>
  <ScaleCrop>false</ScaleCrop>
  <LinksUpToDate>false</LinksUpToDate>
  <CharactersWithSpaces>1031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2021-09-04T04:09:00Z</dcterms:created>
  <dc:creator>59698</dc:creator>
  <cp:lastModifiedBy>田萌芽</cp:lastModifiedBy>
  <cp:lastPrinted>2024-06-26T15:31:00Z</cp:lastPrinted>
  <dcterms:modified xsi:type="dcterms:W3CDTF">2025-05-08T03:33:14Z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5C16D7286D8E4D3A9D5C0EB8E2367560</vt:lpwstr>
  </property>
</Properties>
</file>