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723"/>
        <w:jc w:val="center"/>
        <w:rPr>
          <w:rFonts w:eastAsia="宋体" w:cs="Times New Roman"/>
          <w:b/>
          <w:sz w:val="36"/>
          <w:szCs w:val="36"/>
        </w:rPr>
      </w:pPr>
      <w:r>
        <w:rPr>
          <w:rFonts w:eastAsia="宋体" w:cs="Times New Roman"/>
          <w:b/>
          <w:sz w:val="36"/>
          <w:szCs w:val="36"/>
        </w:rPr>
        <w:t xml:space="preserve"> </w:t>
      </w:r>
    </w:p>
    <w:p>
      <w:pPr>
        <w:spacing w:line="740" w:lineRule="exact"/>
        <w:ind w:firstLine="0" w:firstLineChars="0"/>
        <w:jc w:val="center"/>
        <w:rPr>
          <w:rFonts w:eastAsia="方正小标宋简体" w:cs="Times New Roman"/>
          <w:sz w:val="48"/>
          <w:szCs w:val="48"/>
        </w:rPr>
      </w:pPr>
      <w:r>
        <w:rPr>
          <w:rFonts w:hint="eastAsia" w:eastAsia="方正小标宋简体" w:cs="Times New Roman"/>
          <w:sz w:val="48"/>
          <w:szCs w:val="48"/>
        </w:rPr>
        <w:t>浙江省千万亩森林质量精准提升</w:t>
      </w:r>
    </w:p>
    <w:p>
      <w:pPr>
        <w:spacing w:line="740" w:lineRule="exact"/>
        <w:ind w:firstLine="0" w:firstLineChars="0"/>
        <w:jc w:val="center"/>
        <w:rPr>
          <w:rFonts w:eastAsia="方正小标宋简体" w:cs="Times New Roman"/>
          <w:sz w:val="48"/>
          <w:szCs w:val="48"/>
        </w:rPr>
      </w:pPr>
      <w:r>
        <w:rPr>
          <w:rFonts w:hint="eastAsia" w:eastAsia="方正小标宋简体" w:cs="Times New Roman"/>
          <w:sz w:val="48"/>
          <w:szCs w:val="48"/>
        </w:rPr>
        <w:t>工程建设指导意见</w:t>
      </w:r>
    </w:p>
    <w:p>
      <w:pPr>
        <w:spacing w:before="156" w:beforeLines="50"/>
        <w:ind w:firstLine="0" w:firstLineChars="0"/>
        <w:jc w:val="center"/>
        <w:rPr>
          <w:rFonts w:ascii="楷体_GB2312" w:eastAsia="楷体_GB2312" w:cs="Times New Roman"/>
          <w:szCs w:val="32"/>
        </w:rPr>
      </w:pPr>
      <w:r>
        <w:rPr>
          <w:rFonts w:hint="eastAsia" w:ascii="楷体_GB2312" w:eastAsia="楷体_GB2312" w:cs="Times New Roman"/>
          <w:szCs w:val="32"/>
        </w:rPr>
        <w:t>（试行）</w:t>
      </w: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ind w:firstLine="0" w:firstLineChars="0"/>
        <w:jc w:val="center"/>
        <w:rPr>
          <w:rFonts w:eastAsia="宋体" w:cs="Times New Roman"/>
          <w:b/>
          <w:sz w:val="36"/>
          <w:szCs w:val="36"/>
        </w:rPr>
      </w:pPr>
    </w:p>
    <w:p>
      <w:pPr>
        <w:spacing w:line="640" w:lineRule="exact"/>
        <w:ind w:firstLine="0" w:firstLineChars="0"/>
        <w:jc w:val="center"/>
        <w:rPr>
          <w:rFonts w:ascii="方正小标宋简体" w:eastAsia="方正小标宋简体" w:cs="Times New Roman"/>
          <w:sz w:val="36"/>
          <w:szCs w:val="36"/>
        </w:rPr>
      </w:pPr>
      <w:r>
        <w:rPr>
          <w:rFonts w:hint="eastAsia" w:ascii="方正小标宋简体" w:eastAsia="方正小标宋简体" w:cs="Times New Roman"/>
          <w:sz w:val="36"/>
          <w:szCs w:val="36"/>
        </w:rPr>
        <w:t>浙江省林业局</w:t>
      </w:r>
    </w:p>
    <w:p>
      <w:pPr>
        <w:spacing w:line="640" w:lineRule="exact"/>
        <w:ind w:firstLine="0" w:firstLineChars="0"/>
        <w:jc w:val="center"/>
        <w:rPr>
          <w:rFonts w:ascii="方正小标宋简体" w:eastAsia="方正小标宋简体" w:cs="Times New Roman"/>
          <w:sz w:val="36"/>
          <w:szCs w:val="36"/>
        </w:rPr>
      </w:pPr>
      <w:r>
        <w:rPr>
          <w:rFonts w:hint="eastAsia" w:ascii="方正小标宋简体" w:eastAsia="方正小标宋简体" w:cs="Times New Roman"/>
          <w:sz w:val="36"/>
          <w:szCs w:val="36"/>
        </w:rPr>
        <w:t>二</w:t>
      </w:r>
      <w:r>
        <w:rPr>
          <w:rFonts w:hint="eastAsia" w:ascii="宋体" w:hAnsi="宋体" w:eastAsia="宋体" w:cs="宋体"/>
          <w:sz w:val="36"/>
          <w:szCs w:val="36"/>
        </w:rPr>
        <w:t>〇</w:t>
      </w:r>
      <w:r>
        <w:rPr>
          <w:rFonts w:hint="eastAsia" w:ascii="方正小标宋简体" w:hAnsi="仿宋_GB2312" w:eastAsia="方正小标宋简体" w:cs="仿宋_GB2312"/>
          <w:sz w:val="36"/>
          <w:szCs w:val="36"/>
        </w:rPr>
        <w:t>二一年</w:t>
      </w:r>
      <w:r>
        <w:rPr>
          <w:rFonts w:hint="eastAsia" w:ascii="方正小标宋简体" w:eastAsia="方正小标宋简体" w:cs="Times New Roman"/>
          <w:sz w:val="36"/>
          <w:szCs w:val="36"/>
        </w:rPr>
        <w:t>八月</w:t>
      </w:r>
    </w:p>
    <w:p>
      <w:pPr>
        <w:ind w:firstLine="723"/>
        <w:jc w:val="center"/>
        <w:rPr>
          <w:rFonts w:eastAsia="宋体" w:cs="Times New Roman"/>
          <w:b/>
          <w:sz w:val="36"/>
          <w:szCs w:val="36"/>
        </w:rPr>
        <w:sectPr>
          <w:headerReference r:id="rId7" w:type="first"/>
          <w:footerReference r:id="rId10" w:type="first"/>
          <w:headerReference r:id="rId5" w:type="default"/>
          <w:footerReference r:id="rId8" w:type="default"/>
          <w:headerReference r:id="rId6" w:type="even"/>
          <w:footerReference r:id="rId9" w:type="even"/>
          <w:pgSz w:w="11906" w:h="16838"/>
          <w:pgMar w:top="1928" w:right="1304" w:bottom="1531" w:left="1531" w:header="851" w:footer="1474" w:gutter="0"/>
          <w:cols w:space="425" w:num="1"/>
          <w:docGrid w:type="lines" w:linePitch="312" w:charSpace="0"/>
        </w:sectPr>
      </w:pPr>
    </w:p>
    <w:sdt>
      <w:sdtPr>
        <w:rPr>
          <w:rFonts w:ascii="Times New Roman" w:hAnsi="Times New Roman" w:cs="Times New Roman" w:eastAsiaTheme="minorEastAsia"/>
          <w:color w:val="auto"/>
          <w:kern w:val="2"/>
          <w:sz w:val="21"/>
          <w:szCs w:val="22"/>
          <w:lang w:val="zh-CN"/>
        </w:rPr>
        <w:id w:val="173385359"/>
        <w:docPartObj>
          <w:docPartGallery w:val="Table of Contents"/>
          <w:docPartUnique/>
        </w:docPartObj>
      </w:sdtPr>
      <w:sdtEndPr>
        <w:rPr>
          <w:rFonts w:ascii="Times New Roman" w:hAnsi="Times New Roman" w:eastAsia="仿宋_GB2312" w:cs="Times New Roman"/>
          <w:b/>
          <w:bCs/>
          <w:color w:val="auto"/>
          <w:kern w:val="2"/>
          <w:sz w:val="32"/>
          <w:szCs w:val="22"/>
          <w:lang w:val="zh-CN"/>
        </w:rPr>
      </w:sdtEndPr>
      <w:sdtContent>
        <w:p>
          <w:pPr>
            <w:pStyle w:val="23"/>
            <w:spacing w:before="0" w:line="680" w:lineRule="exact"/>
            <w:ind w:firstLine="0" w:firstLineChars="0"/>
            <w:jc w:val="center"/>
            <w:rPr>
              <w:rFonts w:ascii="Times New Roman" w:hAnsi="Times New Roman" w:eastAsia="方正小标宋简体" w:cs="Times New Roman"/>
              <w:color w:val="auto"/>
              <w:sz w:val="44"/>
              <w:szCs w:val="44"/>
              <w:lang w:val="zh-CN"/>
            </w:rPr>
          </w:pPr>
          <w:r>
            <w:rPr>
              <w:rFonts w:hint="eastAsia" w:ascii="Times New Roman" w:hAnsi="Times New Roman" w:eastAsia="方正小标宋简体" w:cs="Times New Roman"/>
              <w:color w:val="auto"/>
              <w:sz w:val="44"/>
              <w:szCs w:val="44"/>
              <w:lang w:val="zh-CN"/>
            </w:rPr>
            <w:t>目  录</w:t>
          </w:r>
        </w:p>
        <w:p>
          <w:pPr>
            <w:ind w:firstLine="640"/>
            <w:rPr>
              <w:rFonts w:ascii="仿宋_GB2312"/>
              <w:lang w:val="zh-CN"/>
            </w:rPr>
          </w:pPr>
        </w:p>
        <w:p>
          <w:pPr>
            <w:pStyle w:val="9"/>
            <w:tabs>
              <w:tab w:val="right" w:leader="dot" w:pos="9061"/>
            </w:tabs>
            <w:rPr>
              <w:rFonts w:ascii="仿宋_GB2312" w:eastAsia="仿宋_GB2312" w:hAnsiTheme="minorHAnsi" w:cstheme="minorBidi"/>
              <w:kern w:val="2"/>
              <w:sz w:val="21"/>
            </w:rPr>
          </w:pPr>
          <w:r>
            <w:rPr>
              <w:rFonts w:hint="eastAsia" w:ascii="仿宋_GB2312" w:eastAsia="仿宋_GB2312"/>
              <w:b/>
            </w:rPr>
            <w:fldChar w:fldCharType="begin"/>
          </w:r>
          <w:r>
            <w:rPr>
              <w:rFonts w:hint="eastAsia" w:ascii="仿宋_GB2312" w:eastAsia="仿宋_GB2312"/>
              <w:b/>
            </w:rPr>
            <w:instrText xml:space="preserve"> TOC \o "1-2" \h \z \u </w:instrText>
          </w:r>
          <w:r>
            <w:rPr>
              <w:rFonts w:hint="eastAsia" w:ascii="仿宋_GB2312" w:eastAsia="仿宋_GB2312"/>
              <w:b/>
            </w:rPr>
            <w:fldChar w:fldCharType="separate"/>
          </w:r>
          <w:r>
            <w:fldChar w:fldCharType="begin"/>
          </w:r>
          <w:r>
            <w:instrText xml:space="preserve"> HYPERLINK \l "_Toc80367062" </w:instrText>
          </w:r>
          <w:r>
            <w:fldChar w:fldCharType="separate"/>
          </w:r>
          <w:r>
            <w:rPr>
              <w:rStyle w:val="18"/>
              <w:rFonts w:hint="eastAsia" w:ascii="仿宋_GB2312" w:eastAsia="仿宋_GB2312"/>
            </w:rPr>
            <w:t>一、千万亩森林质量精准提升工程建设指导意见简表</w:t>
          </w:r>
          <w:r>
            <w:rPr>
              <w:rFonts w:hint="eastAsia" w:ascii="仿宋_GB2312" w:eastAsia="仿宋_GB2312"/>
            </w:rPr>
            <w:tab/>
          </w:r>
          <w:r>
            <w:rPr>
              <w:rFonts w:hint="eastAsia" w:ascii="仿宋_GB2312" w:eastAsia="仿宋_GB2312"/>
            </w:rPr>
            <w:fldChar w:fldCharType="begin"/>
          </w:r>
          <w:r>
            <w:rPr>
              <w:rFonts w:hint="eastAsia" w:ascii="仿宋_GB2312" w:eastAsia="仿宋_GB2312"/>
            </w:rPr>
            <w:instrText xml:space="preserve"> PAGEREF _Toc80367062 \h </w:instrText>
          </w:r>
          <w:r>
            <w:rPr>
              <w:rFonts w:hint="eastAsia" w:ascii="仿宋_GB2312" w:eastAsia="仿宋_GB2312"/>
            </w:rPr>
            <w:fldChar w:fldCharType="separate"/>
          </w:r>
          <w:r>
            <w:rPr>
              <w:rFonts w:ascii="仿宋_GB2312" w:eastAsia="仿宋_GB2312"/>
            </w:rPr>
            <w:t>1</w:t>
          </w:r>
          <w:r>
            <w:rPr>
              <w:rFonts w:hint="eastAsia" w:ascii="仿宋_GB2312" w:eastAsia="仿宋_GB2312"/>
            </w:rPr>
            <w:fldChar w:fldCharType="end"/>
          </w:r>
          <w:r>
            <w:rPr>
              <w:rFonts w:hint="eastAsia" w:ascii="仿宋_GB2312" w:eastAsia="仿宋_GB2312"/>
            </w:rPr>
            <w:fldChar w:fldCharType="end"/>
          </w:r>
        </w:p>
        <w:p>
          <w:pPr>
            <w:pStyle w:val="9"/>
            <w:tabs>
              <w:tab w:val="right" w:leader="dot" w:pos="9061"/>
            </w:tabs>
            <w:rPr>
              <w:rFonts w:ascii="仿宋_GB2312" w:eastAsia="仿宋_GB2312" w:hAnsiTheme="minorHAnsi" w:cstheme="minorBidi"/>
              <w:kern w:val="2"/>
              <w:sz w:val="21"/>
            </w:rPr>
          </w:pPr>
          <w:r>
            <w:fldChar w:fldCharType="begin"/>
          </w:r>
          <w:r>
            <w:instrText xml:space="preserve"> HYPERLINK \l "_Toc80367063" </w:instrText>
          </w:r>
          <w:r>
            <w:fldChar w:fldCharType="separate"/>
          </w:r>
          <w:r>
            <w:rPr>
              <w:rStyle w:val="18"/>
              <w:rFonts w:hint="eastAsia" w:ascii="仿宋_GB2312" w:eastAsia="仿宋_GB2312"/>
            </w:rPr>
            <w:t>二、中幼林抚育建设指导意见</w:t>
          </w:r>
          <w:r>
            <w:rPr>
              <w:rFonts w:hint="eastAsia" w:ascii="仿宋_GB2312" w:eastAsia="仿宋_GB2312"/>
            </w:rPr>
            <w:tab/>
          </w:r>
          <w:r>
            <w:rPr>
              <w:rFonts w:hint="eastAsia" w:ascii="仿宋_GB2312" w:eastAsia="仿宋_GB2312"/>
            </w:rPr>
            <w:fldChar w:fldCharType="begin"/>
          </w:r>
          <w:r>
            <w:rPr>
              <w:rFonts w:hint="eastAsia" w:ascii="仿宋_GB2312" w:eastAsia="仿宋_GB2312"/>
            </w:rPr>
            <w:instrText xml:space="preserve"> PAGEREF _Toc80367063 \h </w:instrText>
          </w:r>
          <w:r>
            <w:rPr>
              <w:rFonts w:hint="eastAsia" w:ascii="仿宋_GB2312" w:eastAsia="仿宋_GB2312"/>
            </w:rPr>
            <w:fldChar w:fldCharType="separate"/>
          </w:r>
          <w:r>
            <w:rPr>
              <w:rFonts w:ascii="仿宋_GB2312" w:eastAsia="仿宋_GB2312"/>
            </w:rPr>
            <w:t>4</w:t>
          </w:r>
          <w:r>
            <w:rPr>
              <w:rFonts w:hint="eastAsia" w:ascii="仿宋_GB2312" w:eastAsia="仿宋_GB2312"/>
            </w:rPr>
            <w:fldChar w:fldCharType="end"/>
          </w:r>
          <w:r>
            <w:rPr>
              <w:rFonts w:hint="eastAsia" w:ascii="仿宋_GB2312" w:eastAsia="仿宋_GB2312"/>
            </w:rPr>
            <w:fldChar w:fldCharType="end"/>
          </w:r>
        </w:p>
        <w:p>
          <w:pPr>
            <w:pStyle w:val="9"/>
            <w:tabs>
              <w:tab w:val="right" w:leader="dot" w:pos="9061"/>
            </w:tabs>
            <w:rPr>
              <w:rFonts w:ascii="仿宋_GB2312" w:eastAsia="仿宋_GB2312" w:hAnsiTheme="minorHAnsi" w:cstheme="minorBidi"/>
              <w:kern w:val="2"/>
              <w:sz w:val="21"/>
            </w:rPr>
          </w:pPr>
          <w:r>
            <w:fldChar w:fldCharType="begin"/>
          </w:r>
          <w:r>
            <w:instrText xml:space="preserve"> HYPERLINK \l "_Toc80367064" </w:instrText>
          </w:r>
          <w:r>
            <w:fldChar w:fldCharType="separate"/>
          </w:r>
          <w:r>
            <w:rPr>
              <w:rStyle w:val="18"/>
              <w:rFonts w:hint="eastAsia" w:ascii="仿宋_GB2312" w:eastAsia="仿宋_GB2312"/>
            </w:rPr>
            <w:t>三、珍贵树种培育建设指导意见</w:t>
          </w:r>
          <w:r>
            <w:rPr>
              <w:rFonts w:hint="eastAsia" w:ascii="仿宋_GB2312" w:eastAsia="仿宋_GB2312"/>
            </w:rPr>
            <w:tab/>
          </w:r>
          <w:r>
            <w:rPr>
              <w:rFonts w:hint="eastAsia" w:ascii="仿宋_GB2312" w:eastAsia="仿宋_GB2312"/>
            </w:rPr>
            <w:fldChar w:fldCharType="begin"/>
          </w:r>
          <w:r>
            <w:rPr>
              <w:rFonts w:hint="eastAsia" w:ascii="仿宋_GB2312" w:eastAsia="仿宋_GB2312"/>
            </w:rPr>
            <w:instrText xml:space="preserve"> PAGEREF _Toc80367064 \h </w:instrText>
          </w:r>
          <w:r>
            <w:rPr>
              <w:rFonts w:hint="eastAsia" w:ascii="仿宋_GB2312" w:eastAsia="仿宋_GB2312"/>
            </w:rPr>
            <w:fldChar w:fldCharType="separate"/>
          </w:r>
          <w:r>
            <w:rPr>
              <w:rFonts w:ascii="仿宋_GB2312" w:eastAsia="仿宋_GB2312"/>
            </w:rPr>
            <w:t>7</w:t>
          </w:r>
          <w:r>
            <w:rPr>
              <w:rFonts w:hint="eastAsia" w:ascii="仿宋_GB2312" w:eastAsia="仿宋_GB2312"/>
            </w:rPr>
            <w:fldChar w:fldCharType="end"/>
          </w:r>
          <w:r>
            <w:rPr>
              <w:rFonts w:hint="eastAsia" w:ascii="仿宋_GB2312" w:eastAsia="仿宋_GB2312"/>
            </w:rPr>
            <w:fldChar w:fldCharType="end"/>
          </w:r>
        </w:p>
        <w:p>
          <w:pPr>
            <w:pStyle w:val="9"/>
            <w:tabs>
              <w:tab w:val="right" w:leader="dot" w:pos="9061"/>
            </w:tabs>
            <w:rPr>
              <w:rFonts w:ascii="仿宋_GB2312" w:eastAsia="仿宋_GB2312" w:hAnsiTheme="minorHAnsi" w:cstheme="minorBidi"/>
              <w:kern w:val="2"/>
              <w:sz w:val="21"/>
            </w:rPr>
          </w:pPr>
          <w:r>
            <w:fldChar w:fldCharType="begin"/>
          </w:r>
          <w:r>
            <w:instrText xml:space="preserve"> HYPERLINK \l "_Toc80367065" </w:instrText>
          </w:r>
          <w:r>
            <w:fldChar w:fldCharType="separate"/>
          </w:r>
          <w:r>
            <w:rPr>
              <w:rStyle w:val="18"/>
              <w:rFonts w:hint="eastAsia" w:ascii="仿宋_GB2312" w:eastAsia="仿宋_GB2312"/>
            </w:rPr>
            <w:t>四、大径材培育建设指导意见</w:t>
          </w:r>
          <w:r>
            <w:rPr>
              <w:rFonts w:hint="eastAsia" w:ascii="仿宋_GB2312" w:eastAsia="仿宋_GB2312"/>
            </w:rPr>
            <w:tab/>
          </w:r>
          <w:r>
            <w:rPr>
              <w:rFonts w:hint="eastAsia" w:ascii="仿宋_GB2312" w:eastAsia="仿宋_GB2312"/>
            </w:rPr>
            <w:fldChar w:fldCharType="begin"/>
          </w:r>
          <w:r>
            <w:rPr>
              <w:rFonts w:hint="eastAsia" w:ascii="仿宋_GB2312" w:eastAsia="仿宋_GB2312"/>
            </w:rPr>
            <w:instrText xml:space="preserve"> PAGEREF _Toc80367065 \h </w:instrText>
          </w:r>
          <w:r>
            <w:rPr>
              <w:rFonts w:hint="eastAsia" w:ascii="仿宋_GB2312" w:eastAsia="仿宋_GB2312"/>
            </w:rPr>
            <w:fldChar w:fldCharType="separate"/>
          </w:r>
          <w:r>
            <w:rPr>
              <w:rFonts w:ascii="仿宋_GB2312" w:eastAsia="仿宋_GB2312"/>
            </w:rPr>
            <w:t>15</w:t>
          </w:r>
          <w:r>
            <w:rPr>
              <w:rFonts w:hint="eastAsia" w:ascii="仿宋_GB2312" w:eastAsia="仿宋_GB2312"/>
            </w:rPr>
            <w:fldChar w:fldCharType="end"/>
          </w:r>
          <w:r>
            <w:rPr>
              <w:rFonts w:hint="eastAsia" w:ascii="仿宋_GB2312" w:eastAsia="仿宋_GB2312"/>
            </w:rPr>
            <w:fldChar w:fldCharType="end"/>
          </w:r>
        </w:p>
        <w:p>
          <w:pPr>
            <w:pStyle w:val="9"/>
            <w:tabs>
              <w:tab w:val="right" w:leader="dot" w:pos="9061"/>
            </w:tabs>
            <w:rPr>
              <w:rFonts w:ascii="仿宋_GB2312" w:eastAsia="仿宋_GB2312" w:hAnsiTheme="minorHAnsi" w:cstheme="minorBidi"/>
              <w:kern w:val="2"/>
              <w:sz w:val="21"/>
            </w:rPr>
          </w:pPr>
          <w:r>
            <w:fldChar w:fldCharType="begin"/>
          </w:r>
          <w:r>
            <w:instrText xml:space="preserve"> HYPERLINK \l "_Toc80367066" </w:instrText>
          </w:r>
          <w:r>
            <w:fldChar w:fldCharType="separate"/>
          </w:r>
          <w:r>
            <w:rPr>
              <w:rStyle w:val="18"/>
              <w:rFonts w:hint="eastAsia" w:ascii="仿宋_GB2312" w:eastAsia="仿宋_GB2312"/>
            </w:rPr>
            <w:t>五、木本油料抚育建设指导意见</w:t>
          </w:r>
          <w:r>
            <w:rPr>
              <w:rFonts w:hint="eastAsia" w:ascii="仿宋_GB2312" w:eastAsia="仿宋_GB2312"/>
            </w:rPr>
            <w:tab/>
          </w:r>
          <w:r>
            <w:rPr>
              <w:rFonts w:hint="eastAsia" w:ascii="仿宋_GB2312" w:eastAsia="仿宋_GB2312"/>
            </w:rPr>
            <w:fldChar w:fldCharType="begin"/>
          </w:r>
          <w:r>
            <w:rPr>
              <w:rFonts w:hint="eastAsia" w:ascii="仿宋_GB2312" w:eastAsia="仿宋_GB2312"/>
            </w:rPr>
            <w:instrText xml:space="preserve"> PAGEREF _Toc80367066 \h </w:instrText>
          </w:r>
          <w:r>
            <w:rPr>
              <w:rFonts w:hint="eastAsia" w:ascii="仿宋_GB2312" w:eastAsia="仿宋_GB2312"/>
            </w:rPr>
            <w:fldChar w:fldCharType="separate"/>
          </w:r>
          <w:r>
            <w:rPr>
              <w:rFonts w:ascii="仿宋_GB2312" w:eastAsia="仿宋_GB2312"/>
            </w:rPr>
            <w:t>29</w:t>
          </w:r>
          <w:r>
            <w:rPr>
              <w:rFonts w:hint="eastAsia" w:ascii="仿宋_GB2312" w:eastAsia="仿宋_GB2312"/>
            </w:rPr>
            <w:fldChar w:fldCharType="end"/>
          </w:r>
          <w:r>
            <w:rPr>
              <w:rFonts w:hint="eastAsia" w:ascii="仿宋_GB2312" w:eastAsia="仿宋_GB2312"/>
            </w:rPr>
            <w:fldChar w:fldCharType="end"/>
          </w:r>
        </w:p>
        <w:p>
          <w:pPr>
            <w:pStyle w:val="9"/>
            <w:tabs>
              <w:tab w:val="right" w:leader="dot" w:pos="9061"/>
            </w:tabs>
            <w:rPr>
              <w:rFonts w:ascii="仿宋_GB2312" w:eastAsia="仿宋_GB2312" w:hAnsiTheme="minorHAnsi" w:cstheme="minorBidi"/>
              <w:kern w:val="2"/>
              <w:sz w:val="21"/>
            </w:rPr>
          </w:pPr>
          <w:r>
            <w:fldChar w:fldCharType="begin"/>
          </w:r>
          <w:r>
            <w:instrText xml:space="preserve"> HYPERLINK \l "_Toc80367067" </w:instrText>
          </w:r>
          <w:r>
            <w:fldChar w:fldCharType="separate"/>
          </w:r>
          <w:r>
            <w:rPr>
              <w:rStyle w:val="18"/>
              <w:rFonts w:hint="eastAsia" w:ascii="仿宋_GB2312" w:eastAsia="仿宋_GB2312"/>
            </w:rPr>
            <w:t>六、生态廊道建设指导意见</w:t>
          </w:r>
          <w:r>
            <w:rPr>
              <w:rFonts w:hint="eastAsia" w:ascii="仿宋_GB2312" w:eastAsia="仿宋_GB2312"/>
            </w:rPr>
            <w:tab/>
          </w:r>
          <w:r>
            <w:rPr>
              <w:rFonts w:hint="eastAsia" w:ascii="仿宋_GB2312" w:eastAsia="仿宋_GB2312"/>
            </w:rPr>
            <w:fldChar w:fldCharType="begin"/>
          </w:r>
          <w:r>
            <w:rPr>
              <w:rFonts w:hint="eastAsia" w:ascii="仿宋_GB2312" w:eastAsia="仿宋_GB2312"/>
            </w:rPr>
            <w:instrText xml:space="preserve"> PAGEREF _Toc80367067 \h </w:instrText>
          </w:r>
          <w:r>
            <w:rPr>
              <w:rFonts w:hint="eastAsia" w:ascii="仿宋_GB2312" w:eastAsia="仿宋_GB2312"/>
            </w:rPr>
            <w:fldChar w:fldCharType="separate"/>
          </w:r>
          <w:r>
            <w:rPr>
              <w:rFonts w:ascii="仿宋_GB2312" w:eastAsia="仿宋_GB2312"/>
            </w:rPr>
            <w:t>36</w:t>
          </w:r>
          <w:r>
            <w:rPr>
              <w:rFonts w:hint="eastAsia" w:ascii="仿宋_GB2312" w:eastAsia="仿宋_GB2312"/>
            </w:rPr>
            <w:fldChar w:fldCharType="end"/>
          </w:r>
          <w:r>
            <w:rPr>
              <w:rFonts w:hint="eastAsia" w:ascii="仿宋_GB2312" w:eastAsia="仿宋_GB2312"/>
            </w:rPr>
            <w:fldChar w:fldCharType="end"/>
          </w:r>
        </w:p>
        <w:p>
          <w:pPr>
            <w:pStyle w:val="9"/>
            <w:tabs>
              <w:tab w:val="right" w:leader="dot" w:pos="9061"/>
            </w:tabs>
            <w:rPr>
              <w:rFonts w:ascii="仿宋_GB2312" w:eastAsia="仿宋_GB2312" w:hAnsiTheme="minorHAnsi" w:cstheme="minorBidi"/>
              <w:kern w:val="2"/>
              <w:sz w:val="21"/>
            </w:rPr>
          </w:pPr>
          <w:r>
            <w:fldChar w:fldCharType="begin"/>
          </w:r>
          <w:r>
            <w:instrText xml:space="preserve"> HYPERLINK \l "_Toc80367068" </w:instrText>
          </w:r>
          <w:r>
            <w:fldChar w:fldCharType="separate"/>
          </w:r>
          <w:r>
            <w:rPr>
              <w:rStyle w:val="18"/>
              <w:rFonts w:hint="eastAsia" w:ascii="仿宋_GB2312" w:eastAsia="仿宋_GB2312"/>
            </w:rPr>
            <w:t>七、美丽林相建设指导意见</w:t>
          </w:r>
          <w:r>
            <w:rPr>
              <w:rFonts w:hint="eastAsia" w:ascii="仿宋_GB2312" w:eastAsia="仿宋_GB2312"/>
            </w:rPr>
            <w:tab/>
          </w:r>
          <w:r>
            <w:rPr>
              <w:rFonts w:hint="eastAsia" w:ascii="仿宋_GB2312" w:eastAsia="仿宋_GB2312"/>
            </w:rPr>
            <w:fldChar w:fldCharType="begin"/>
          </w:r>
          <w:r>
            <w:rPr>
              <w:rFonts w:hint="eastAsia" w:ascii="仿宋_GB2312" w:eastAsia="仿宋_GB2312"/>
            </w:rPr>
            <w:instrText xml:space="preserve"> PAGEREF _Toc80367068 \h </w:instrText>
          </w:r>
          <w:r>
            <w:rPr>
              <w:rFonts w:hint="eastAsia" w:ascii="仿宋_GB2312" w:eastAsia="仿宋_GB2312"/>
            </w:rPr>
            <w:fldChar w:fldCharType="separate"/>
          </w:r>
          <w:r>
            <w:rPr>
              <w:rFonts w:ascii="仿宋_GB2312" w:eastAsia="仿宋_GB2312"/>
            </w:rPr>
            <w:t>47</w:t>
          </w:r>
          <w:r>
            <w:rPr>
              <w:rFonts w:hint="eastAsia" w:ascii="仿宋_GB2312" w:eastAsia="仿宋_GB2312"/>
            </w:rPr>
            <w:fldChar w:fldCharType="end"/>
          </w:r>
          <w:r>
            <w:rPr>
              <w:rFonts w:hint="eastAsia" w:ascii="仿宋_GB2312" w:eastAsia="仿宋_GB2312"/>
            </w:rPr>
            <w:fldChar w:fldCharType="end"/>
          </w:r>
        </w:p>
        <w:p>
          <w:pPr>
            <w:pStyle w:val="9"/>
            <w:tabs>
              <w:tab w:val="right" w:leader="dot" w:pos="9061"/>
            </w:tabs>
            <w:rPr>
              <w:rFonts w:ascii="仿宋_GB2312" w:eastAsia="仿宋_GB2312" w:hAnsiTheme="minorHAnsi" w:cstheme="minorBidi"/>
              <w:kern w:val="2"/>
              <w:sz w:val="21"/>
            </w:rPr>
          </w:pPr>
          <w:r>
            <w:fldChar w:fldCharType="begin"/>
          </w:r>
          <w:r>
            <w:instrText xml:space="preserve"> HYPERLINK \l "_Toc80367069" </w:instrText>
          </w:r>
          <w:r>
            <w:fldChar w:fldCharType="separate"/>
          </w:r>
          <w:r>
            <w:rPr>
              <w:rStyle w:val="18"/>
              <w:rFonts w:hint="eastAsia" w:ascii="仿宋_GB2312" w:eastAsia="仿宋_GB2312"/>
            </w:rPr>
            <w:t>八、湿地生态修复建设指导意见</w:t>
          </w:r>
          <w:r>
            <w:rPr>
              <w:rFonts w:hint="eastAsia" w:ascii="仿宋_GB2312" w:eastAsia="仿宋_GB2312"/>
            </w:rPr>
            <w:tab/>
          </w:r>
          <w:r>
            <w:rPr>
              <w:rFonts w:hint="eastAsia" w:ascii="仿宋_GB2312" w:eastAsia="仿宋_GB2312"/>
            </w:rPr>
            <w:fldChar w:fldCharType="begin"/>
          </w:r>
          <w:r>
            <w:rPr>
              <w:rFonts w:hint="eastAsia" w:ascii="仿宋_GB2312" w:eastAsia="仿宋_GB2312"/>
            </w:rPr>
            <w:instrText xml:space="preserve"> PAGEREF _Toc80367069 \h </w:instrText>
          </w:r>
          <w:r>
            <w:rPr>
              <w:rFonts w:hint="eastAsia" w:ascii="仿宋_GB2312" w:eastAsia="仿宋_GB2312"/>
            </w:rPr>
            <w:fldChar w:fldCharType="separate"/>
          </w:r>
          <w:r>
            <w:rPr>
              <w:rFonts w:ascii="仿宋_GB2312" w:eastAsia="仿宋_GB2312"/>
            </w:rPr>
            <w:t>51</w:t>
          </w:r>
          <w:r>
            <w:rPr>
              <w:rFonts w:hint="eastAsia" w:ascii="仿宋_GB2312" w:eastAsia="仿宋_GB2312"/>
            </w:rPr>
            <w:fldChar w:fldCharType="end"/>
          </w:r>
          <w:r>
            <w:rPr>
              <w:rFonts w:hint="eastAsia" w:ascii="仿宋_GB2312" w:eastAsia="仿宋_GB2312"/>
            </w:rPr>
            <w:fldChar w:fldCharType="end"/>
          </w:r>
        </w:p>
        <w:p>
          <w:pPr>
            <w:pStyle w:val="9"/>
            <w:tabs>
              <w:tab w:val="right" w:leader="dot" w:pos="9061"/>
            </w:tabs>
            <w:rPr>
              <w:rFonts w:ascii="仿宋_GB2312" w:eastAsia="仿宋_GB2312" w:hAnsiTheme="minorHAnsi" w:cstheme="minorBidi"/>
              <w:kern w:val="2"/>
              <w:sz w:val="21"/>
            </w:rPr>
          </w:pPr>
          <w:r>
            <w:fldChar w:fldCharType="begin"/>
          </w:r>
          <w:r>
            <w:instrText xml:space="preserve"> HYPERLINK \l "_Toc80367070" </w:instrText>
          </w:r>
          <w:r>
            <w:fldChar w:fldCharType="separate"/>
          </w:r>
          <w:r>
            <w:rPr>
              <w:rStyle w:val="18"/>
              <w:rFonts w:hint="eastAsia" w:ascii="仿宋_GB2312" w:eastAsia="仿宋_GB2312"/>
            </w:rPr>
            <w:t>九、健康森林建设指导意见</w:t>
          </w:r>
          <w:r>
            <w:rPr>
              <w:rFonts w:hint="eastAsia" w:ascii="仿宋_GB2312" w:eastAsia="仿宋_GB2312"/>
            </w:rPr>
            <w:tab/>
          </w:r>
          <w:r>
            <w:rPr>
              <w:rFonts w:hint="eastAsia" w:ascii="仿宋_GB2312" w:eastAsia="仿宋_GB2312"/>
            </w:rPr>
            <w:fldChar w:fldCharType="begin"/>
          </w:r>
          <w:r>
            <w:rPr>
              <w:rFonts w:hint="eastAsia" w:ascii="仿宋_GB2312" w:eastAsia="仿宋_GB2312"/>
            </w:rPr>
            <w:instrText xml:space="preserve"> PAGEREF _Toc80367070 \h </w:instrText>
          </w:r>
          <w:r>
            <w:rPr>
              <w:rFonts w:hint="eastAsia" w:ascii="仿宋_GB2312" w:eastAsia="仿宋_GB2312"/>
            </w:rPr>
            <w:fldChar w:fldCharType="separate"/>
          </w:r>
          <w:r>
            <w:rPr>
              <w:rFonts w:ascii="仿宋_GB2312" w:eastAsia="仿宋_GB2312"/>
            </w:rPr>
            <w:t>57</w:t>
          </w:r>
          <w:r>
            <w:rPr>
              <w:rFonts w:hint="eastAsia" w:ascii="仿宋_GB2312" w:eastAsia="仿宋_GB2312"/>
            </w:rPr>
            <w:fldChar w:fldCharType="end"/>
          </w:r>
          <w:r>
            <w:rPr>
              <w:rFonts w:hint="eastAsia" w:ascii="仿宋_GB2312" w:eastAsia="仿宋_GB2312"/>
            </w:rPr>
            <w:fldChar w:fldCharType="end"/>
          </w:r>
        </w:p>
        <w:p>
          <w:pPr>
            <w:ind w:firstLine="0" w:firstLineChars="0"/>
            <w:rPr>
              <w:rFonts w:cs="Times New Roman"/>
            </w:rPr>
          </w:pPr>
          <w:r>
            <w:rPr>
              <w:rFonts w:hint="eastAsia" w:ascii="仿宋_GB2312" w:cs="Times New Roman"/>
              <w:b/>
              <w:kern w:val="0"/>
            </w:rPr>
            <w:fldChar w:fldCharType="end"/>
          </w:r>
        </w:p>
      </w:sdtContent>
    </w:sdt>
    <w:p>
      <w:pPr>
        <w:ind w:firstLine="723"/>
        <w:rPr>
          <w:rFonts w:eastAsia="宋体" w:cs="Times New Roman"/>
          <w:b/>
          <w:sz w:val="36"/>
          <w:szCs w:val="36"/>
        </w:rPr>
      </w:pPr>
    </w:p>
    <w:p>
      <w:pPr>
        <w:ind w:firstLine="723"/>
        <w:rPr>
          <w:rFonts w:eastAsia="宋体" w:cs="Times New Roman"/>
          <w:b/>
          <w:sz w:val="36"/>
          <w:szCs w:val="36"/>
        </w:rPr>
      </w:pPr>
    </w:p>
    <w:p>
      <w:pPr>
        <w:ind w:firstLine="723"/>
        <w:rPr>
          <w:rFonts w:eastAsia="宋体" w:cs="Times New Roman"/>
          <w:b/>
          <w:sz w:val="36"/>
          <w:szCs w:val="36"/>
        </w:rPr>
        <w:sectPr>
          <w:pgSz w:w="11906" w:h="16838"/>
          <w:pgMar w:top="1928" w:right="1304" w:bottom="1531" w:left="1531" w:header="851" w:footer="1474" w:gutter="0"/>
          <w:cols w:space="425" w:num="1"/>
          <w:docGrid w:type="lines" w:linePitch="312" w:charSpace="0"/>
        </w:sectPr>
      </w:pPr>
    </w:p>
    <w:p>
      <w:pPr>
        <w:pStyle w:val="2"/>
        <w:spacing w:before="0" w:after="156" w:afterLines="50" w:line="640" w:lineRule="exact"/>
        <w:ind w:firstLine="0" w:firstLineChars="0"/>
        <w:rPr>
          <w:rFonts w:ascii="方正小标宋简体" w:eastAsia="方正小标宋简体" w:cs="Times New Roman"/>
          <w:b w:val="0"/>
        </w:rPr>
      </w:pPr>
      <w:bookmarkStart w:id="0" w:name="_Toc80367062"/>
      <w:r>
        <w:rPr>
          <w:rFonts w:hint="eastAsia" w:ascii="方正小标宋简体" w:eastAsia="方正小标宋简体" w:cs="Times New Roman"/>
          <w:b w:val="0"/>
        </w:rPr>
        <w:t>一、千万亩森林质量精准提升工程建设指导意见简表</w:t>
      </w:r>
      <w:bookmarkEnd w:id="0"/>
    </w:p>
    <w:tbl>
      <w:tblPr>
        <w:tblStyle w:val="13"/>
        <w:tblW w:w="14491" w:type="dxa"/>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5"/>
        <w:gridCol w:w="371"/>
        <w:gridCol w:w="2035"/>
        <w:gridCol w:w="5811"/>
        <w:gridCol w:w="1261"/>
        <w:gridCol w:w="1002"/>
        <w:gridCol w:w="1846"/>
        <w:gridCol w:w="17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blHeader/>
        </w:trPr>
        <w:tc>
          <w:tcPr>
            <w:tcW w:w="435" w:type="dxa"/>
            <w:tcBorders>
              <w:tl2br w:val="nil"/>
              <w:tr2bl w:val="nil"/>
            </w:tcBorders>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任务分类</w:t>
            </w:r>
          </w:p>
        </w:tc>
        <w:tc>
          <w:tcPr>
            <w:tcW w:w="371" w:type="dxa"/>
            <w:tcBorders>
              <w:tl2br w:val="nil"/>
              <w:tr2bl w:val="nil"/>
            </w:tcBorders>
            <w:shd w:val="clear" w:color="auto" w:fill="auto"/>
            <w:noWrap/>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工作</w:t>
            </w:r>
          </w:p>
          <w:p>
            <w:pPr>
              <w:widowControl/>
              <w:adjustRightInd w:val="0"/>
              <w:snapToGrid w:val="0"/>
              <w:spacing w:line="240" w:lineRule="auto"/>
              <w:ind w:firstLine="0" w:firstLineChars="0"/>
              <w:jc w:val="center"/>
              <w:textAlignment w:val="center"/>
              <w:rPr>
                <w:rFonts w:ascii="仿宋_GB2312" w:cs="Times New Roman"/>
                <w:color w:val="000000"/>
                <w:sz w:val="18"/>
                <w:szCs w:val="18"/>
              </w:rPr>
            </w:pPr>
            <w:r>
              <w:rPr>
                <w:rFonts w:hint="eastAsia" w:ascii="仿宋_GB2312" w:cs="Times New Roman"/>
                <w:color w:val="000000"/>
                <w:kern w:val="0"/>
                <w:sz w:val="18"/>
                <w:szCs w:val="18"/>
                <w:lang w:bidi="ar"/>
              </w:rPr>
              <w:t>类型</w:t>
            </w:r>
          </w:p>
        </w:tc>
        <w:tc>
          <w:tcPr>
            <w:tcW w:w="2035" w:type="dxa"/>
            <w:tcBorders>
              <w:tl2br w:val="nil"/>
              <w:tr2bl w:val="nil"/>
            </w:tcBorders>
            <w:shd w:val="clear" w:color="auto" w:fill="auto"/>
            <w:noWrap/>
            <w:vAlign w:val="center"/>
          </w:tcPr>
          <w:p>
            <w:pPr>
              <w:widowControl/>
              <w:adjustRightInd w:val="0"/>
              <w:snapToGrid w:val="0"/>
              <w:spacing w:line="240" w:lineRule="auto"/>
              <w:ind w:firstLine="0" w:firstLineChars="0"/>
              <w:jc w:val="center"/>
              <w:textAlignment w:val="center"/>
              <w:rPr>
                <w:rFonts w:ascii="仿宋_GB2312" w:cs="Times New Roman"/>
                <w:color w:val="000000"/>
                <w:sz w:val="18"/>
                <w:szCs w:val="18"/>
              </w:rPr>
            </w:pPr>
            <w:r>
              <w:rPr>
                <w:rFonts w:hint="eastAsia" w:ascii="仿宋_GB2312" w:cs="Times New Roman"/>
                <w:color w:val="000000"/>
                <w:kern w:val="0"/>
                <w:sz w:val="18"/>
                <w:szCs w:val="18"/>
                <w:lang w:bidi="ar"/>
              </w:rPr>
              <w:t>对象</w:t>
            </w:r>
          </w:p>
        </w:tc>
        <w:tc>
          <w:tcPr>
            <w:tcW w:w="5811" w:type="dxa"/>
            <w:tcBorders>
              <w:tl2br w:val="nil"/>
              <w:tr2bl w:val="nil"/>
            </w:tcBorders>
            <w:shd w:val="clear" w:color="auto" w:fill="auto"/>
            <w:noWrap/>
            <w:vAlign w:val="center"/>
          </w:tcPr>
          <w:p>
            <w:pPr>
              <w:widowControl/>
              <w:adjustRightInd w:val="0"/>
              <w:snapToGrid w:val="0"/>
              <w:spacing w:line="240" w:lineRule="auto"/>
              <w:ind w:firstLine="0" w:firstLineChars="0"/>
              <w:jc w:val="center"/>
              <w:textAlignment w:val="center"/>
              <w:rPr>
                <w:rFonts w:ascii="仿宋_GB2312" w:cs="Times New Roman"/>
                <w:color w:val="000000"/>
                <w:sz w:val="18"/>
                <w:szCs w:val="18"/>
              </w:rPr>
            </w:pPr>
            <w:r>
              <w:rPr>
                <w:rFonts w:hint="eastAsia" w:ascii="仿宋_GB2312" w:cs="Times New Roman"/>
                <w:color w:val="000000"/>
                <w:kern w:val="0"/>
                <w:sz w:val="18"/>
                <w:szCs w:val="18"/>
                <w:lang w:bidi="ar"/>
              </w:rPr>
              <w:t>设计指标</w:t>
            </w:r>
          </w:p>
        </w:tc>
        <w:tc>
          <w:tcPr>
            <w:tcW w:w="4109" w:type="dxa"/>
            <w:gridSpan w:val="3"/>
            <w:tcBorders>
              <w:tl2br w:val="nil"/>
              <w:tr2bl w:val="nil"/>
            </w:tcBorders>
            <w:shd w:val="clear" w:color="auto" w:fill="auto"/>
            <w:noWrap/>
            <w:vAlign w:val="center"/>
          </w:tcPr>
          <w:p>
            <w:pPr>
              <w:widowControl/>
              <w:adjustRightInd w:val="0"/>
              <w:snapToGrid w:val="0"/>
              <w:spacing w:line="240" w:lineRule="auto"/>
              <w:ind w:firstLine="0" w:firstLineChars="0"/>
              <w:jc w:val="center"/>
              <w:textAlignment w:val="center"/>
              <w:rPr>
                <w:rFonts w:ascii="仿宋_GB2312" w:cs="Times New Roman"/>
                <w:color w:val="000000"/>
                <w:sz w:val="18"/>
                <w:szCs w:val="18"/>
              </w:rPr>
            </w:pPr>
            <w:r>
              <w:rPr>
                <w:rFonts w:hint="eastAsia" w:ascii="仿宋_GB2312" w:cs="Times New Roman"/>
                <w:color w:val="000000"/>
                <w:kern w:val="0"/>
                <w:sz w:val="18"/>
                <w:szCs w:val="18"/>
                <w:lang w:bidi="ar"/>
              </w:rPr>
              <w:t>验收（认定）方式</w:t>
            </w:r>
          </w:p>
        </w:tc>
        <w:tc>
          <w:tcPr>
            <w:tcW w:w="1730" w:type="dxa"/>
            <w:tcBorders>
              <w:tl2br w:val="nil"/>
              <w:tr2bl w:val="nil"/>
            </w:tcBorders>
            <w:shd w:val="clear" w:color="auto" w:fill="auto"/>
            <w:noWrap/>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执行标准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1" w:hRule="atLeast"/>
        </w:trPr>
        <w:tc>
          <w:tcPr>
            <w:tcW w:w="435" w:type="dxa"/>
            <w:vMerge w:val="restart"/>
            <w:tcBorders>
              <w:tl2br w:val="nil"/>
              <w:tr2bl w:val="nil"/>
            </w:tcBorders>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战略储备林建设</w:t>
            </w:r>
          </w:p>
        </w:tc>
        <w:tc>
          <w:tcPr>
            <w:tcW w:w="371" w:type="dxa"/>
            <w:vMerge w:val="restart"/>
            <w:tcBorders>
              <w:tl2br w:val="nil"/>
              <w:tr2bl w:val="nil"/>
            </w:tcBorders>
            <w:shd w:val="clear" w:color="auto" w:fill="auto"/>
            <w:vAlign w:val="center"/>
          </w:tcPr>
          <w:p>
            <w:pPr>
              <w:widowControl/>
              <w:adjustRightInd w:val="0"/>
              <w:snapToGrid w:val="0"/>
              <w:spacing w:line="240" w:lineRule="auto"/>
              <w:ind w:firstLine="0" w:firstLineChars="0"/>
              <w:jc w:val="center"/>
              <w:textAlignment w:val="center"/>
              <w:rPr>
                <w:rFonts w:ascii="仿宋_GB2312" w:cs="Times New Roman"/>
                <w:color w:val="000000"/>
                <w:sz w:val="18"/>
                <w:szCs w:val="18"/>
              </w:rPr>
            </w:pPr>
            <w:r>
              <w:rPr>
                <w:rFonts w:hint="eastAsia" w:ascii="仿宋_GB2312" w:cs="Times New Roman"/>
                <w:color w:val="000000"/>
                <w:kern w:val="0"/>
                <w:sz w:val="18"/>
                <w:szCs w:val="18"/>
                <w:lang w:bidi="ar"/>
              </w:rPr>
              <w:t>中幼林抚育</w:t>
            </w:r>
          </w:p>
        </w:tc>
        <w:tc>
          <w:tcPr>
            <w:tcW w:w="2035" w:type="dxa"/>
            <w:tcBorders>
              <w:tl2br w:val="nil"/>
              <w:tr2bl w:val="nil"/>
            </w:tcBorders>
            <w:shd w:val="clear" w:color="auto" w:fill="auto"/>
            <w:noWrap/>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乔木幼龄林</w:t>
            </w:r>
          </w:p>
        </w:tc>
        <w:tc>
          <w:tcPr>
            <w:tcW w:w="5811" w:type="dxa"/>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抚育面积≥50亩。</w:t>
            </w:r>
          </w:p>
          <w:p>
            <w:pPr>
              <w:widowControl/>
              <w:tabs>
                <w:tab w:val="left" w:pos="312"/>
              </w:tabs>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1.割灌除草：清除影响目的树种生长的藤条灌木；避免全面割灌除草；</w:t>
            </w:r>
          </w:p>
          <w:p>
            <w:pPr>
              <w:widowControl/>
              <w:tabs>
                <w:tab w:val="left" w:pos="312"/>
              </w:tabs>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2.间伐（疏伐）：伐除品质不良的林木，控制密度，促使林木杆形良好；</w:t>
            </w:r>
          </w:p>
          <w:p>
            <w:pPr>
              <w:widowControl/>
              <w:tabs>
                <w:tab w:val="left" w:pos="312"/>
              </w:tabs>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3补植：对郁闭度</w:t>
            </w:r>
            <w:r>
              <w:rPr>
                <w:rFonts w:hint="eastAsia" w:ascii="仿宋_GB2312" w:hAnsi="仿宋_GB2312" w:cs="Times New Roman"/>
                <w:color w:val="000000"/>
                <w:kern w:val="0"/>
                <w:sz w:val="18"/>
                <w:szCs w:val="18"/>
                <w:lang w:bidi="ar"/>
              </w:rPr>
              <w:t>&lt;</w:t>
            </w:r>
            <w:r>
              <w:rPr>
                <w:rFonts w:hint="eastAsia" w:ascii="仿宋_GB2312" w:cs="Times New Roman"/>
                <w:color w:val="000000"/>
                <w:kern w:val="0"/>
                <w:sz w:val="18"/>
                <w:szCs w:val="18"/>
                <w:lang w:bidi="ar"/>
              </w:rPr>
              <w:t>0.5或有林中空地的林分采用补植；</w:t>
            </w:r>
          </w:p>
          <w:p>
            <w:pPr>
              <w:widowControl/>
              <w:adjustRightInd w:val="0"/>
              <w:snapToGrid w:val="0"/>
              <w:spacing w:line="240" w:lineRule="auto"/>
              <w:ind w:firstLine="0" w:firstLineChars="0"/>
              <w:jc w:val="left"/>
              <w:textAlignment w:val="center"/>
              <w:rPr>
                <w:rFonts w:ascii="仿宋_GB2312" w:cs="Times New Roman"/>
                <w:color w:val="000000"/>
                <w:sz w:val="18"/>
                <w:szCs w:val="18"/>
              </w:rPr>
            </w:pPr>
            <w:r>
              <w:rPr>
                <w:rFonts w:hint="eastAsia" w:ascii="仿宋_GB2312" w:cs="Times New Roman"/>
                <w:color w:val="000000"/>
                <w:kern w:val="0"/>
                <w:sz w:val="18"/>
                <w:szCs w:val="18"/>
                <w:lang w:bidi="ar"/>
              </w:rPr>
              <w:t>4.综合抚育:复杂林分，实行2种或以上抚育方式配套组合。幼龄林抚育应全部采取综合抚育方式。</w:t>
            </w:r>
          </w:p>
        </w:tc>
        <w:tc>
          <w:tcPr>
            <w:tcW w:w="4109" w:type="dxa"/>
            <w:gridSpan w:val="3"/>
            <w:vMerge w:val="restart"/>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kern w:val="0"/>
                <w:sz w:val="18"/>
                <w:szCs w:val="18"/>
                <w:lang w:bidi="ar"/>
              </w:rPr>
            </w:pPr>
            <w:r>
              <w:rPr>
                <w:rFonts w:hint="eastAsia" w:ascii="仿宋_GB2312" w:cs="Times New Roman"/>
                <w:kern w:val="0"/>
                <w:sz w:val="18"/>
                <w:szCs w:val="18"/>
                <w:lang w:bidi="ar"/>
              </w:rPr>
              <w:t>采取验收的方式：参照国家林业局《森林抚育检查验收办法》执行，总分100分，85分及以上为合格。具体检查验收内容详见指导意见中幼林抚育作业质量检查表。</w:t>
            </w:r>
          </w:p>
          <w:p>
            <w:pPr>
              <w:widowControl/>
              <w:adjustRightInd w:val="0"/>
              <w:snapToGrid w:val="0"/>
              <w:spacing w:line="240" w:lineRule="auto"/>
              <w:ind w:firstLine="0" w:firstLineChars="0"/>
              <w:jc w:val="left"/>
              <w:textAlignment w:val="center"/>
              <w:rPr>
                <w:rFonts w:ascii="仿宋_GB2312" w:cs="Times New Roman"/>
                <w:color w:val="FF0000"/>
                <w:kern w:val="0"/>
                <w:sz w:val="18"/>
                <w:szCs w:val="18"/>
                <w:lang w:bidi="ar"/>
              </w:rPr>
            </w:pPr>
            <w:r>
              <w:rPr>
                <w:rFonts w:hint="eastAsia" w:ascii="仿宋_GB2312" w:cs="Times New Roman"/>
                <w:kern w:val="0"/>
                <w:sz w:val="18"/>
                <w:szCs w:val="18"/>
                <w:lang w:bidi="ar"/>
              </w:rPr>
              <w:t>出现无证采伐或作业地点、抚育对象、抚育方式错误的，即判定为不合格作业区。</w:t>
            </w:r>
            <w:r>
              <w:rPr>
                <w:rFonts w:hint="eastAsia" w:ascii="仿宋_GB2312" w:cs="Times New Roman"/>
                <w:color w:val="FF0000"/>
                <w:kern w:val="0"/>
                <w:sz w:val="18"/>
                <w:szCs w:val="18"/>
                <w:lang w:bidi="ar"/>
              </w:rPr>
              <w:br w:type="textWrapping"/>
            </w:r>
          </w:p>
        </w:tc>
        <w:tc>
          <w:tcPr>
            <w:tcW w:w="1730" w:type="dxa"/>
            <w:vMerge w:val="restart"/>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kern w:val="0"/>
                <w:sz w:val="18"/>
                <w:szCs w:val="18"/>
                <w:lang w:bidi="ar"/>
              </w:rPr>
            </w:pPr>
            <w:r>
              <w:rPr>
                <w:rFonts w:hint="eastAsia" w:ascii="仿宋_GB2312" w:cs="Times New Roman"/>
                <w:kern w:val="0"/>
                <w:sz w:val="18"/>
                <w:szCs w:val="18"/>
                <w:lang w:bidi="ar"/>
              </w:rPr>
              <w:t>1.（国家林业局《关于印发&lt;森林抚育作业设计规定&gt;和&lt;森林抚育检查验收办法&gt;的通知》（林造发〔2014〕140号）</w:t>
            </w:r>
          </w:p>
          <w:p>
            <w:pPr>
              <w:widowControl/>
              <w:adjustRightInd w:val="0"/>
              <w:snapToGrid w:val="0"/>
              <w:spacing w:line="240" w:lineRule="auto"/>
              <w:ind w:firstLine="0" w:firstLineChars="0"/>
              <w:jc w:val="left"/>
              <w:textAlignment w:val="center"/>
              <w:rPr>
                <w:rFonts w:ascii="仿宋_GB2312" w:cs="Times New Roman"/>
                <w:kern w:val="0"/>
                <w:sz w:val="18"/>
                <w:szCs w:val="18"/>
                <w:lang w:bidi="ar"/>
              </w:rPr>
            </w:pPr>
            <w:r>
              <w:rPr>
                <w:rFonts w:hint="eastAsia" w:ascii="仿宋_GB2312" w:cs="Times New Roman"/>
                <w:kern w:val="0"/>
                <w:sz w:val="18"/>
                <w:szCs w:val="18"/>
                <w:lang w:bidi="ar"/>
              </w:rPr>
              <w:t>2.森林抚育技术规程（GB/T 15781-2015）</w:t>
            </w:r>
          </w:p>
          <w:p>
            <w:pPr>
              <w:widowControl/>
              <w:adjustRightInd w:val="0"/>
              <w:snapToGrid w:val="0"/>
              <w:spacing w:line="240" w:lineRule="auto"/>
              <w:ind w:firstLine="0" w:firstLineChars="0"/>
              <w:jc w:val="left"/>
              <w:textAlignment w:val="center"/>
              <w:rPr>
                <w:rFonts w:ascii="仿宋_GB2312" w:cs="Times New Roman"/>
                <w:kern w:val="0"/>
                <w:sz w:val="18"/>
                <w:szCs w:val="18"/>
                <w:lang w:bidi="ar"/>
              </w:rPr>
            </w:pPr>
            <w:r>
              <w:rPr>
                <w:rFonts w:hint="eastAsia" w:ascii="仿宋_GB2312" w:cs="Times New Roman"/>
                <w:kern w:val="0"/>
                <w:sz w:val="18"/>
                <w:szCs w:val="18"/>
                <w:lang w:bidi="ar"/>
              </w:rPr>
              <w:t>3.森林采伐作业规程（ LY/T 1646-2005）</w:t>
            </w:r>
          </w:p>
          <w:p>
            <w:pPr>
              <w:widowControl/>
              <w:adjustRightInd w:val="0"/>
              <w:snapToGrid w:val="0"/>
              <w:spacing w:line="240" w:lineRule="auto"/>
              <w:ind w:firstLine="0" w:firstLineChars="0"/>
              <w:jc w:val="left"/>
              <w:textAlignment w:val="center"/>
              <w:rPr>
                <w:rFonts w:ascii="仿宋_GB2312" w:cs="Times New Roman"/>
                <w:kern w:val="0"/>
                <w:sz w:val="18"/>
                <w:szCs w:val="18"/>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4" w:hRule="atLeast"/>
        </w:trPr>
        <w:tc>
          <w:tcPr>
            <w:tcW w:w="435" w:type="dxa"/>
            <w:vMerge w:val="continue"/>
            <w:tcBorders>
              <w:tl2br w:val="nil"/>
              <w:tr2bl w:val="nil"/>
            </w:tcBorders>
          </w:tcPr>
          <w:p>
            <w:pPr>
              <w:adjustRightInd w:val="0"/>
              <w:snapToGrid w:val="0"/>
              <w:spacing w:line="240" w:lineRule="auto"/>
              <w:ind w:firstLine="0" w:firstLineChars="0"/>
              <w:jc w:val="center"/>
              <w:rPr>
                <w:rFonts w:ascii="仿宋_GB2312" w:cs="Times New Roman"/>
                <w:color w:val="000000"/>
                <w:sz w:val="18"/>
                <w:szCs w:val="18"/>
              </w:rPr>
            </w:pPr>
          </w:p>
        </w:tc>
        <w:tc>
          <w:tcPr>
            <w:tcW w:w="371" w:type="dxa"/>
            <w:vMerge w:val="continue"/>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sz w:val="18"/>
                <w:szCs w:val="18"/>
              </w:rPr>
            </w:pPr>
          </w:p>
        </w:tc>
        <w:tc>
          <w:tcPr>
            <w:tcW w:w="2035" w:type="dxa"/>
            <w:tcBorders>
              <w:tl2br w:val="nil"/>
              <w:tr2bl w:val="nil"/>
            </w:tcBorders>
            <w:shd w:val="clear" w:color="auto" w:fill="auto"/>
            <w:noWrap/>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乔木中龄林</w:t>
            </w:r>
          </w:p>
        </w:tc>
        <w:tc>
          <w:tcPr>
            <w:tcW w:w="5811" w:type="dxa"/>
            <w:tcBorders>
              <w:tl2br w:val="nil"/>
              <w:tr2bl w:val="nil"/>
            </w:tcBorders>
            <w:shd w:val="clear" w:color="auto" w:fill="auto"/>
            <w:vAlign w:val="center"/>
          </w:tcPr>
          <w:p>
            <w:pPr>
              <w:widowControl/>
              <w:tabs>
                <w:tab w:val="left" w:pos="312"/>
              </w:tabs>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抚育面积≥50亩。</w:t>
            </w:r>
          </w:p>
          <w:p>
            <w:pPr>
              <w:widowControl/>
              <w:tabs>
                <w:tab w:val="left" w:pos="312"/>
              </w:tabs>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1.间伐（生长伐）：调整林分密度,伐除过密和生长不良的林木，提高木材质量和产量；</w:t>
            </w:r>
          </w:p>
          <w:p>
            <w:pPr>
              <w:widowControl/>
              <w:tabs>
                <w:tab w:val="left" w:pos="312"/>
              </w:tabs>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2.间伐（疏伐）：伐除品质不良的林木，控制密度，促使林木杆形良好；</w:t>
            </w:r>
          </w:p>
          <w:p>
            <w:pPr>
              <w:widowControl/>
              <w:tabs>
                <w:tab w:val="left" w:pos="312"/>
              </w:tabs>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3.补植：对郁闭度&lt;0.5或有林中空地的林分采用补植；</w:t>
            </w:r>
          </w:p>
          <w:p>
            <w:pPr>
              <w:widowControl/>
              <w:adjustRightInd w:val="0"/>
              <w:snapToGrid w:val="0"/>
              <w:spacing w:line="240" w:lineRule="auto"/>
              <w:ind w:firstLine="0" w:firstLineChars="0"/>
              <w:jc w:val="left"/>
              <w:textAlignment w:val="center"/>
              <w:rPr>
                <w:rFonts w:ascii="仿宋_GB2312" w:cs="Times New Roman"/>
                <w:color w:val="000000"/>
                <w:sz w:val="18"/>
                <w:szCs w:val="18"/>
              </w:rPr>
            </w:pPr>
            <w:r>
              <w:rPr>
                <w:rFonts w:hint="eastAsia" w:ascii="仿宋_GB2312" w:cs="Times New Roman"/>
                <w:color w:val="000000"/>
                <w:kern w:val="0"/>
                <w:sz w:val="18"/>
                <w:szCs w:val="18"/>
                <w:lang w:bidi="ar"/>
              </w:rPr>
              <w:t>4.综合抚育：复杂林分，实行2种或以上抚育方式配套组合。</w:t>
            </w:r>
          </w:p>
        </w:tc>
        <w:tc>
          <w:tcPr>
            <w:tcW w:w="4109" w:type="dxa"/>
            <w:gridSpan w:val="3"/>
            <w:vMerge w:val="continue"/>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p>
        </w:tc>
        <w:tc>
          <w:tcPr>
            <w:tcW w:w="1730" w:type="dxa"/>
            <w:vMerge w:val="continue"/>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0" w:hRule="atLeast"/>
        </w:trPr>
        <w:tc>
          <w:tcPr>
            <w:tcW w:w="435" w:type="dxa"/>
            <w:vMerge w:val="continue"/>
            <w:tcBorders>
              <w:tl2br w:val="nil"/>
              <w:tr2bl w:val="nil"/>
            </w:tcBorders>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p>
        </w:tc>
        <w:tc>
          <w:tcPr>
            <w:tcW w:w="371" w:type="dxa"/>
            <w:vMerge w:val="restart"/>
            <w:tcBorders>
              <w:tl2br w:val="nil"/>
              <w:tr2bl w:val="nil"/>
            </w:tcBorders>
            <w:shd w:val="clear" w:color="auto" w:fill="auto"/>
            <w:vAlign w:val="center"/>
          </w:tcPr>
          <w:p>
            <w:pPr>
              <w:widowControl/>
              <w:adjustRightInd w:val="0"/>
              <w:snapToGrid w:val="0"/>
              <w:spacing w:line="240" w:lineRule="auto"/>
              <w:ind w:firstLine="0" w:firstLineChars="0"/>
              <w:jc w:val="center"/>
              <w:textAlignment w:val="center"/>
              <w:rPr>
                <w:rFonts w:ascii="仿宋_GB2312" w:cs="Times New Roman"/>
                <w:color w:val="000000"/>
                <w:sz w:val="18"/>
                <w:szCs w:val="18"/>
              </w:rPr>
            </w:pPr>
            <w:r>
              <w:rPr>
                <w:rFonts w:hint="eastAsia" w:ascii="仿宋_GB2312" w:cs="Times New Roman"/>
                <w:color w:val="000000"/>
                <w:kern w:val="0"/>
                <w:sz w:val="18"/>
                <w:szCs w:val="18"/>
                <w:lang w:bidi="ar"/>
              </w:rPr>
              <w:t>珍贵树种和大径材培育</w:t>
            </w:r>
          </w:p>
        </w:tc>
        <w:tc>
          <w:tcPr>
            <w:tcW w:w="2035" w:type="dxa"/>
            <w:tcBorders>
              <w:tl2br w:val="nil"/>
              <w:tr2bl w:val="nil"/>
            </w:tcBorders>
            <w:shd w:val="clear" w:color="auto" w:fill="auto"/>
            <w:noWrap/>
            <w:vAlign w:val="center"/>
          </w:tcPr>
          <w:p>
            <w:pPr>
              <w:widowControl/>
              <w:numPr>
                <w:ilvl w:val="255"/>
                <w:numId w:val="0"/>
              </w:numPr>
              <w:adjustRightInd w:val="0"/>
              <w:snapToGrid w:val="0"/>
              <w:spacing w:line="240" w:lineRule="auto"/>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1.造林5年以上的珍贵树种人工林；</w:t>
            </w:r>
          </w:p>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2.有一定珍贵树种数量的次生阔叶林。</w:t>
            </w:r>
          </w:p>
        </w:tc>
        <w:tc>
          <w:tcPr>
            <w:tcW w:w="5811" w:type="dxa"/>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color w:val="000000"/>
                <w:sz w:val="18"/>
                <w:szCs w:val="18"/>
              </w:rPr>
            </w:pPr>
            <w:r>
              <w:rPr>
                <w:rFonts w:hint="eastAsia" w:ascii="仿宋_GB2312" w:cs="Times New Roman"/>
                <w:color w:val="000000"/>
                <w:kern w:val="0"/>
                <w:sz w:val="18"/>
                <w:szCs w:val="18"/>
                <w:lang w:bidi="ar"/>
              </w:rPr>
              <w:t>相对集中连片面积≥100亩。</w:t>
            </w:r>
          </w:p>
          <w:p>
            <w:pPr>
              <w:widowControl/>
              <w:adjustRightInd w:val="0"/>
              <w:snapToGrid w:val="0"/>
              <w:spacing w:line="240" w:lineRule="auto"/>
              <w:ind w:firstLine="0" w:firstLineChars="0"/>
              <w:jc w:val="left"/>
              <w:textAlignment w:val="center"/>
              <w:rPr>
                <w:rFonts w:ascii="仿宋_GB2312" w:cs="Times New Roman"/>
                <w:color w:val="000000"/>
                <w:sz w:val="18"/>
                <w:szCs w:val="18"/>
              </w:rPr>
            </w:pPr>
            <w:r>
              <w:rPr>
                <w:rFonts w:hint="eastAsia" w:ascii="仿宋_GB2312" w:cs="Times New Roman"/>
                <w:color w:val="000000"/>
                <w:sz w:val="18"/>
                <w:szCs w:val="18"/>
              </w:rPr>
              <w:t>1.中幼林抚育：割灌除草、修枝、松土扩穴、施肥、间伐和综合抚育等措施。</w:t>
            </w:r>
          </w:p>
          <w:p>
            <w:pPr>
              <w:widowControl/>
              <w:adjustRightInd w:val="0"/>
              <w:snapToGrid w:val="0"/>
              <w:spacing w:line="240" w:lineRule="auto"/>
              <w:ind w:firstLine="0" w:firstLineChars="0"/>
              <w:jc w:val="left"/>
              <w:textAlignment w:val="center"/>
              <w:rPr>
                <w:rFonts w:ascii="仿宋_GB2312" w:cs="Times New Roman"/>
                <w:color w:val="000000"/>
                <w:sz w:val="18"/>
                <w:szCs w:val="18"/>
              </w:rPr>
            </w:pPr>
            <w:r>
              <w:rPr>
                <w:rFonts w:hint="eastAsia" w:ascii="仿宋_GB2312" w:cs="Times New Roman"/>
                <w:color w:val="000000"/>
                <w:sz w:val="18"/>
                <w:szCs w:val="18"/>
              </w:rPr>
              <w:t>2.次生林改造：对郁闭度过高的中幼林，采取间伐、补植，保留促进目的树种生长。</w:t>
            </w:r>
          </w:p>
        </w:tc>
        <w:tc>
          <w:tcPr>
            <w:tcW w:w="1261" w:type="dxa"/>
            <w:vMerge w:val="restart"/>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采取认定的方式：编制长期经营方案和作业设计，组织开展人工商品林基地认定。</w:t>
            </w:r>
          </w:p>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p>
        </w:tc>
        <w:tc>
          <w:tcPr>
            <w:tcW w:w="2848" w:type="dxa"/>
            <w:gridSpan w:val="2"/>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1</w:t>
            </w:r>
            <w:r>
              <w:rPr>
                <w:rFonts w:ascii="仿宋_GB2312" w:cs="Times New Roman"/>
                <w:color w:val="000000"/>
                <w:kern w:val="0"/>
                <w:sz w:val="18"/>
                <w:szCs w:val="18"/>
                <w:lang w:bidi="ar"/>
              </w:rPr>
              <w:t>.</w:t>
            </w:r>
            <w:r>
              <w:rPr>
                <w:rFonts w:hint="eastAsia" w:ascii="仿宋_GB2312" w:cs="Times New Roman"/>
                <w:color w:val="000000"/>
                <w:kern w:val="0"/>
                <w:sz w:val="18"/>
                <w:szCs w:val="18"/>
                <w:lang w:bidi="ar"/>
              </w:rPr>
              <w:t>每亩珍贵树种株树≥40株。</w:t>
            </w:r>
          </w:p>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2</w:t>
            </w:r>
            <w:r>
              <w:rPr>
                <w:rFonts w:ascii="仿宋_GB2312" w:cs="Times New Roman"/>
                <w:color w:val="000000"/>
                <w:kern w:val="0"/>
                <w:sz w:val="18"/>
                <w:szCs w:val="18"/>
                <w:lang w:bidi="ar"/>
              </w:rPr>
              <w:t>.</w:t>
            </w:r>
            <w:r>
              <w:rPr>
                <w:rFonts w:hint="eastAsia" w:ascii="仿宋_GB2312" w:cs="Times New Roman"/>
                <w:color w:val="000000"/>
                <w:kern w:val="0"/>
                <w:sz w:val="18"/>
                <w:szCs w:val="18"/>
                <w:lang w:bidi="ar"/>
              </w:rPr>
              <w:t>珍贵树种1级林木比例≥90%。</w:t>
            </w:r>
          </w:p>
        </w:tc>
        <w:tc>
          <w:tcPr>
            <w:tcW w:w="1730" w:type="dxa"/>
            <w:vMerge w:val="restart"/>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kern w:val="0"/>
                <w:sz w:val="18"/>
                <w:szCs w:val="18"/>
                <w:lang w:bidi="ar"/>
              </w:rPr>
            </w:pPr>
            <w:r>
              <w:rPr>
                <w:rFonts w:hint="eastAsia" w:ascii="仿宋_GB2312" w:cs="Times New Roman"/>
                <w:kern w:val="0"/>
                <w:sz w:val="18"/>
                <w:szCs w:val="18"/>
                <w:lang w:bidi="ar"/>
              </w:rPr>
              <w:t>1.森林抚育技术规程（GB/T 15781-2015）</w:t>
            </w:r>
          </w:p>
          <w:p>
            <w:pPr>
              <w:widowControl/>
              <w:adjustRightInd w:val="0"/>
              <w:snapToGrid w:val="0"/>
              <w:spacing w:line="240" w:lineRule="auto"/>
              <w:ind w:firstLine="0" w:firstLineChars="0"/>
              <w:jc w:val="left"/>
              <w:textAlignment w:val="center"/>
              <w:rPr>
                <w:rFonts w:ascii="仿宋_GB2312" w:cs="Times New Roman"/>
                <w:kern w:val="0"/>
                <w:sz w:val="18"/>
                <w:szCs w:val="18"/>
                <w:lang w:bidi="ar"/>
              </w:rPr>
            </w:pPr>
            <w:r>
              <w:rPr>
                <w:rFonts w:hint="eastAsia" w:ascii="仿宋_GB2312" w:cs="Times New Roman"/>
                <w:kern w:val="0"/>
                <w:sz w:val="18"/>
                <w:szCs w:val="18"/>
                <w:lang w:bidi="ar"/>
              </w:rPr>
              <w:t>2.珍贵树种培育建设指导意见</w:t>
            </w:r>
          </w:p>
          <w:p>
            <w:pPr>
              <w:widowControl/>
              <w:adjustRightInd w:val="0"/>
              <w:snapToGrid w:val="0"/>
              <w:spacing w:line="240" w:lineRule="auto"/>
              <w:ind w:firstLine="0" w:firstLineChars="0"/>
              <w:jc w:val="left"/>
              <w:textAlignment w:val="center"/>
              <w:rPr>
                <w:rFonts w:ascii="仿宋_GB2312" w:cs="Times New Roman"/>
                <w:kern w:val="0"/>
                <w:sz w:val="18"/>
                <w:szCs w:val="18"/>
                <w:lang w:bidi="ar"/>
              </w:rPr>
            </w:pPr>
            <w:r>
              <w:rPr>
                <w:rFonts w:hint="eastAsia" w:ascii="仿宋_GB2312" w:cs="Times New Roman"/>
                <w:kern w:val="0"/>
                <w:sz w:val="18"/>
                <w:szCs w:val="18"/>
                <w:lang w:bidi="ar"/>
              </w:rPr>
              <w:t>3.大径材培育建设指导意见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8" w:hRule="atLeast"/>
        </w:trPr>
        <w:tc>
          <w:tcPr>
            <w:tcW w:w="435" w:type="dxa"/>
            <w:vMerge w:val="continue"/>
            <w:tcBorders>
              <w:tl2br w:val="nil"/>
              <w:tr2bl w:val="nil"/>
            </w:tcBorders>
          </w:tcPr>
          <w:p>
            <w:pPr>
              <w:adjustRightInd w:val="0"/>
              <w:snapToGrid w:val="0"/>
              <w:spacing w:line="240" w:lineRule="auto"/>
              <w:ind w:firstLine="0" w:firstLineChars="0"/>
              <w:jc w:val="center"/>
              <w:rPr>
                <w:rFonts w:ascii="仿宋_GB2312" w:cs="Times New Roman"/>
                <w:color w:val="000000"/>
                <w:sz w:val="18"/>
                <w:szCs w:val="18"/>
              </w:rPr>
            </w:pPr>
          </w:p>
        </w:tc>
        <w:tc>
          <w:tcPr>
            <w:tcW w:w="371" w:type="dxa"/>
            <w:vMerge w:val="continue"/>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sz w:val="18"/>
                <w:szCs w:val="18"/>
              </w:rPr>
            </w:pP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杉、柏等人工中龄林及以上林分的大径级林木培育的商品林或国有林。</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kern w:val="0"/>
                <w:sz w:val="18"/>
                <w:szCs w:val="18"/>
                <w:lang w:bidi="ar"/>
              </w:rPr>
              <w:t>面积≥200亩，其中相对集中连片面积≥100亩。</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大径材培育包括间伐、目标树培育、施肥、补植等措施；</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1.初始林分平均胸径≥14厘米，1级木数量≥50%；</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2.抚育后林分径级差≤6个(霸王树除外)，径级提高1级以上，郁闭度≤0.7；</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3.大径材林下补植珍贵树种数量≥30株/亩，主林层郁闭度≤0.6。</w:t>
            </w:r>
          </w:p>
        </w:tc>
        <w:tc>
          <w:tcPr>
            <w:tcW w:w="1261" w:type="dxa"/>
            <w:vMerge w:val="continue"/>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sz w:val="18"/>
                <w:szCs w:val="18"/>
              </w:rPr>
            </w:pPr>
          </w:p>
        </w:tc>
        <w:tc>
          <w:tcPr>
            <w:tcW w:w="2848" w:type="dxa"/>
            <w:gridSpan w:val="2"/>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1</w:t>
            </w:r>
            <w:r>
              <w:rPr>
                <w:rFonts w:ascii="仿宋_GB2312" w:cs="Times New Roman"/>
                <w:color w:val="000000"/>
                <w:kern w:val="0"/>
                <w:sz w:val="18"/>
                <w:szCs w:val="18"/>
                <w:lang w:bidi="ar"/>
              </w:rPr>
              <w:t>.</w:t>
            </w:r>
            <w:r>
              <w:rPr>
                <w:rFonts w:hint="eastAsia" w:ascii="仿宋_GB2312" w:cs="Times New Roman"/>
                <w:color w:val="000000"/>
                <w:kern w:val="0"/>
                <w:sz w:val="18"/>
                <w:szCs w:val="18"/>
                <w:lang w:bidi="ar"/>
              </w:rPr>
              <w:t>林木生长应满足下列条件之一：</w:t>
            </w:r>
          </w:p>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（1）初始林分优势木≥26cm林分，大径级林木比例提高10%以上；</w:t>
            </w:r>
          </w:p>
          <w:p>
            <w:pPr>
              <w:adjustRightInd w:val="0"/>
              <w:snapToGrid w:val="0"/>
              <w:spacing w:line="240" w:lineRule="auto"/>
              <w:ind w:firstLine="0" w:firstLineChars="0"/>
              <w:rPr>
                <w:rFonts w:ascii="仿宋_GB2312" w:cs="Times New Roman"/>
                <w:color w:val="000000"/>
                <w:kern w:val="0"/>
                <w:sz w:val="18"/>
                <w:szCs w:val="18"/>
                <w:lang w:bidi="ar"/>
              </w:rPr>
            </w:pPr>
            <w:r>
              <w:rPr>
                <w:rFonts w:hint="eastAsia" w:ascii="仿宋_GB2312" w:cs="Times New Roman"/>
                <w:color w:val="000000"/>
                <w:kern w:val="0"/>
                <w:sz w:val="18"/>
                <w:szCs w:val="18"/>
                <w:lang w:bidi="ar"/>
              </w:rPr>
              <w:t>（2）初始林分优势木≤26cm林分，大径级林木比例≥10%；</w:t>
            </w:r>
          </w:p>
          <w:p>
            <w:pPr>
              <w:adjustRightInd w:val="0"/>
              <w:snapToGrid w:val="0"/>
              <w:spacing w:line="240" w:lineRule="auto"/>
              <w:ind w:firstLine="0" w:firstLineChars="0"/>
              <w:rPr>
                <w:rFonts w:ascii="仿宋_GB2312" w:cs="Times New Roman"/>
                <w:color w:val="000000"/>
                <w:sz w:val="18"/>
                <w:szCs w:val="18"/>
              </w:rPr>
            </w:pPr>
            <w:r>
              <w:rPr>
                <w:rFonts w:hint="eastAsia" w:ascii="仿宋_GB2312" w:cs="Times New Roman"/>
                <w:color w:val="000000"/>
                <w:kern w:val="0"/>
                <w:sz w:val="18"/>
                <w:szCs w:val="18"/>
                <w:lang w:bidi="ar"/>
              </w:rPr>
              <w:t>2</w:t>
            </w:r>
            <w:r>
              <w:rPr>
                <w:rFonts w:ascii="仿宋_GB2312" w:cs="Times New Roman"/>
                <w:color w:val="000000"/>
                <w:kern w:val="0"/>
                <w:sz w:val="18"/>
                <w:szCs w:val="18"/>
                <w:lang w:bidi="ar"/>
              </w:rPr>
              <w:t>.</w:t>
            </w:r>
            <w:r>
              <w:rPr>
                <w:rFonts w:hint="eastAsia" w:ascii="仿宋_GB2312" w:cs="Times New Roman"/>
                <w:color w:val="000000"/>
                <w:kern w:val="0"/>
                <w:sz w:val="18"/>
                <w:szCs w:val="18"/>
                <w:lang w:bidi="ar"/>
              </w:rPr>
              <w:t>大径材林分的1级木数量≥50%。</w:t>
            </w:r>
          </w:p>
        </w:tc>
        <w:tc>
          <w:tcPr>
            <w:tcW w:w="1730" w:type="dxa"/>
            <w:vMerge w:val="continue"/>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35" w:type="dxa"/>
            <w:vMerge w:val="restart"/>
            <w:tcBorders>
              <w:tl2br w:val="nil"/>
              <w:tr2bl w:val="nil"/>
            </w:tcBorders>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战略储备林建设</w:t>
            </w:r>
          </w:p>
        </w:tc>
        <w:tc>
          <w:tcPr>
            <w:tcW w:w="371" w:type="dxa"/>
            <w:vMerge w:val="restart"/>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木本油料抚育</w:t>
            </w: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油茶新造林</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kern w:val="0"/>
                <w:sz w:val="18"/>
                <w:szCs w:val="18"/>
                <w:lang w:bidi="ar"/>
              </w:rPr>
            </w:pPr>
            <w:r>
              <w:rPr>
                <w:rFonts w:hint="eastAsia" w:ascii="仿宋_GB2312" w:cs="Times New Roman"/>
                <w:color w:val="000000"/>
                <w:kern w:val="0"/>
                <w:sz w:val="18"/>
                <w:szCs w:val="18"/>
                <w:lang w:bidi="ar"/>
              </w:rPr>
              <w:t>2009年以后的油茶新造林。</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kern w:val="0"/>
                <w:sz w:val="18"/>
                <w:szCs w:val="18"/>
                <w:lang w:bidi="ar"/>
              </w:rPr>
              <w:t>以林班为单位，相对集中连片面积≥100亩。</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1.垦复除草，2.施肥，3.整形修剪，4.病虫害防治。</w:t>
            </w:r>
          </w:p>
        </w:tc>
        <w:tc>
          <w:tcPr>
            <w:tcW w:w="2263" w:type="dxa"/>
            <w:gridSpan w:val="2"/>
            <w:vMerge w:val="restart"/>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采取验收的方式：</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1.制定抚育管理实施方案；</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2.管理规范，杂灌清理干净，林地无明显病虫害；</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3.管理台账、工作档案记录完备；</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4.建立责任专家挂钩联系制度；</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5.由县级林业主管部门组织专家完成检查验收。</w:t>
            </w:r>
          </w:p>
          <w:p>
            <w:pPr>
              <w:adjustRightInd w:val="0"/>
              <w:snapToGrid w:val="0"/>
              <w:spacing w:line="240" w:lineRule="auto"/>
              <w:ind w:firstLine="0" w:firstLineChars="0"/>
              <w:jc w:val="left"/>
              <w:rPr>
                <w:rFonts w:ascii="仿宋_GB2312" w:cs="Times New Roman"/>
                <w:color w:val="000000"/>
                <w:sz w:val="18"/>
                <w:szCs w:val="18"/>
              </w:rPr>
            </w:pPr>
          </w:p>
          <w:p>
            <w:pPr>
              <w:adjustRightInd w:val="0"/>
              <w:snapToGrid w:val="0"/>
              <w:spacing w:line="240" w:lineRule="auto"/>
              <w:ind w:firstLine="360"/>
              <w:jc w:val="left"/>
              <w:rPr>
                <w:rFonts w:ascii="仿宋_GB2312" w:cs="Times New Roman"/>
                <w:color w:val="000000"/>
                <w:sz w:val="18"/>
                <w:szCs w:val="18"/>
              </w:rPr>
            </w:pPr>
          </w:p>
        </w:tc>
        <w:tc>
          <w:tcPr>
            <w:tcW w:w="1846"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不健康枝条基本剪除。</w:t>
            </w:r>
          </w:p>
        </w:tc>
        <w:tc>
          <w:tcPr>
            <w:tcW w:w="1730" w:type="dxa"/>
            <w:vMerge w:val="restart"/>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油茶丰产栽培技术规程（DB 33/T 525.2—2013）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35" w:type="dxa"/>
            <w:vMerge w:val="continue"/>
            <w:tcBorders>
              <w:tl2br w:val="nil"/>
              <w:tr2bl w:val="nil"/>
            </w:tcBorders>
          </w:tcPr>
          <w:p>
            <w:pPr>
              <w:adjustRightInd w:val="0"/>
              <w:snapToGrid w:val="0"/>
              <w:spacing w:line="240" w:lineRule="auto"/>
              <w:ind w:firstLine="0" w:firstLineChars="0"/>
              <w:jc w:val="center"/>
              <w:rPr>
                <w:rFonts w:ascii="仿宋_GB2312" w:cs="Times New Roman"/>
                <w:color w:val="000000"/>
                <w:kern w:val="0"/>
                <w:sz w:val="18"/>
                <w:szCs w:val="18"/>
                <w:lang w:bidi="ar"/>
              </w:rPr>
            </w:pPr>
          </w:p>
        </w:tc>
        <w:tc>
          <w:tcPr>
            <w:tcW w:w="371" w:type="dxa"/>
            <w:vMerge w:val="continue"/>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油茶成龄林</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kern w:val="0"/>
                <w:sz w:val="18"/>
                <w:szCs w:val="18"/>
                <w:lang w:bidi="ar"/>
              </w:rPr>
            </w:pPr>
            <w:r>
              <w:rPr>
                <w:rFonts w:hint="eastAsia" w:ascii="仿宋_GB2312" w:cs="Times New Roman"/>
                <w:color w:val="000000"/>
                <w:kern w:val="0"/>
                <w:sz w:val="18"/>
                <w:szCs w:val="18"/>
                <w:lang w:bidi="ar"/>
              </w:rPr>
              <w:t>树龄20年以上的油茶林。</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kern w:val="0"/>
                <w:sz w:val="18"/>
                <w:szCs w:val="18"/>
                <w:lang w:bidi="ar"/>
              </w:rPr>
              <w:t>以林班为单位，相对集中连片面积≥50亩。</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1.整形修剪，2.良种补植，3.垦复除草，4.施肥，5.病虫害防治。</w:t>
            </w:r>
          </w:p>
        </w:tc>
        <w:tc>
          <w:tcPr>
            <w:tcW w:w="2263" w:type="dxa"/>
            <w:gridSpan w:val="2"/>
            <w:vMerge w:val="continue"/>
            <w:tcBorders>
              <w:tl2br w:val="nil"/>
              <w:tr2bl w:val="nil"/>
            </w:tcBorders>
            <w:shd w:val="clear" w:color="auto" w:fill="auto"/>
            <w:vAlign w:val="center"/>
          </w:tcPr>
          <w:p>
            <w:pPr>
              <w:adjustRightInd w:val="0"/>
              <w:snapToGrid w:val="0"/>
              <w:spacing w:line="240" w:lineRule="auto"/>
              <w:ind w:firstLine="360"/>
              <w:jc w:val="left"/>
              <w:rPr>
                <w:rFonts w:ascii="仿宋_GB2312" w:cs="Times New Roman"/>
                <w:color w:val="000000"/>
                <w:sz w:val="18"/>
                <w:szCs w:val="18"/>
              </w:rPr>
            </w:pPr>
          </w:p>
        </w:tc>
        <w:tc>
          <w:tcPr>
            <w:tcW w:w="1846"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油茶密度50～70株/亩，无明显天窗。</w:t>
            </w:r>
          </w:p>
        </w:tc>
        <w:tc>
          <w:tcPr>
            <w:tcW w:w="1730" w:type="dxa"/>
            <w:vMerge w:val="continue"/>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35" w:type="dxa"/>
            <w:vMerge w:val="continue"/>
            <w:tcBorders>
              <w:tl2br w:val="nil"/>
              <w:tr2bl w:val="nil"/>
            </w:tcBorders>
          </w:tcPr>
          <w:p>
            <w:pPr>
              <w:adjustRightInd w:val="0"/>
              <w:snapToGrid w:val="0"/>
              <w:spacing w:line="240" w:lineRule="auto"/>
              <w:ind w:firstLine="0" w:firstLineChars="0"/>
              <w:jc w:val="center"/>
              <w:rPr>
                <w:rFonts w:ascii="仿宋_GB2312" w:cs="Times New Roman"/>
                <w:color w:val="000000"/>
                <w:kern w:val="0"/>
                <w:sz w:val="18"/>
                <w:szCs w:val="18"/>
                <w:lang w:bidi="ar"/>
              </w:rPr>
            </w:pPr>
          </w:p>
        </w:tc>
        <w:tc>
          <w:tcPr>
            <w:tcW w:w="371" w:type="dxa"/>
            <w:vMerge w:val="continue"/>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香榧新造林</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kern w:val="0"/>
                <w:sz w:val="18"/>
                <w:szCs w:val="18"/>
                <w:lang w:bidi="ar"/>
              </w:rPr>
            </w:pPr>
            <w:r>
              <w:rPr>
                <w:rFonts w:hint="eastAsia" w:ascii="仿宋_GB2312" w:cs="Times New Roman"/>
                <w:color w:val="000000"/>
                <w:kern w:val="0"/>
                <w:sz w:val="18"/>
                <w:szCs w:val="18"/>
                <w:lang w:bidi="ar"/>
              </w:rPr>
              <w:t>2011年以后的香榧新造林。</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kern w:val="0"/>
                <w:sz w:val="18"/>
                <w:szCs w:val="18"/>
                <w:lang w:bidi="ar"/>
              </w:rPr>
              <w:t>连片种植面积≥300亩。</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1.生草栽培，2.合理施肥，3.整形修剪，4.人工辅助授粉，5.清园除杂，6.绿色病虫害防控。</w:t>
            </w:r>
          </w:p>
        </w:tc>
        <w:tc>
          <w:tcPr>
            <w:tcW w:w="2263" w:type="dxa"/>
            <w:gridSpan w:val="2"/>
            <w:vMerge w:val="continue"/>
            <w:tcBorders>
              <w:tl2br w:val="nil"/>
              <w:tr2bl w:val="nil"/>
            </w:tcBorders>
            <w:shd w:val="clear" w:color="auto" w:fill="auto"/>
            <w:vAlign w:val="center"/>
          </w:tcPr>
          <w:p>
            <w:pPr>
              <w:adjustRightInd w:val="0"/>
              <w:snapToGrid w:val="0"/>
              <w:spacing w:line="240" w:lineRule="auto"/>
              <w:ind w:firstLine="360"/>
              <w:jc w:val="left"/>
              <w:rPr>
                <w:rFonts w:ascii="仿宋_GB2312" w:cs="Times New Roman"/>
                <w:color w:val="000000"/>
                <w:sz w:val="18"/>
                <w:szCs w:val="18"/>
              </w:rPr>
            </w:pPr>
          </w:p>
        </w:tc>
        <w:tc>
          <w:tcPr>
            <w:tcW w:w="1846"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抚育后种植密度合理，无明显天窗；</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生态化经营面积比例在30%以上。</w:t>
            </w:r>
          </w:p>
        </w:tc>
        <w:tc>
          <w:tcPr>
            <w:tcW w:w="1730"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香榧栽培技术规程（DB 33/T 340—2012）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4" w:hRule="atLeast"/>
        </w:trPr>
        <w:tc>
          <w:tcPr>
            <w:tcW w:w="435" w:type="dxa"/>
            <w:vMerge w:val="continue"/>
            <w:tcBorders>
              <w:tl2br w:val="nil"/>
              <w:tr2bl w:val="nil"/>
            </w:tcBorders>
          </w:tcPr>
          <w:p>
            <w:pPr>
              <w:adjustRightInd w:val="0"/>
              <w:snapToGrid w:val="0"/>
              <w:spacing w:line="240" w:lineRule="auto"/>
              <w:ind w:firstLine="0" w:firstLineChars="0"/>
              <w:jc w:val="center"/>
              <w:rPr>
                <w:rFonts w:ascii="仿宋_GB2312" w:cs="Times New Roman"/>
                <w:color w:val="000000"/>
                <w:kern w:val="0"/>
                <w:sz w:val="18"/>
                <w:szCs w:val="18"/>
                <w:lang w:bidi="ar"/>
              </w:rPr>
            </w:pPr>
          </w:p>
        </w:tc>
        <w:tc>
          <w:tcPr>
            <w:tcW w:w="371" w:type="dxa"/>
            <w:vMerge w:val="continue"/>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山核桃</w:t>
            </w:r>
          </w:p>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（薄壳山核桃）</w:t>
            </w:r>
          </w:p>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新造林</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kern w:val="0"/>
                <w:sz w:val="18"/>
                <w:szCs w:val="18"/>
                <w:lang w:bidi="ar"/>
              </w:rPr>
            </w:pPr>
            <w:r>
              <w:rPr>
                <w:rFonts w:hint="eastAsia" w:ascii="仿宋_GB2312" w:cs="Times New Roman"/>
                <w:color w:val="000000"/>
                <w:kern w:val="0"/>
                <w:sz w:val="18"/>
                <w:szCs w:val="18"/>
                <w:lang w:bidi="ar"/>
              </w:rPr>
              <w:t>2011年以后的山核桃（薄壳山核桃）新造林。</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kern w:val="0"/>
                <w:sz w:val="18"/>
                <w:szCs w:val="18"/>
                <w:lang w:bidi="ar"/>
              </w:rPr>
              <w:t>连片种植面积≥300亩。</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山核桃：整形修剪、土壤改良与林下植被管理、肥水管理、病虫害防治等。</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薄壳山核桃：中耕除草、施肥与保墒灌溉、整形修剪、辅助授粉、病虫害防治等。</w:t>
            </w:r>
          </w:p>
        </w:tc>
        <w:tc>
          <w:tcPr>
            <w:tcW w:w="2263" w:type="dxa"/>
            <w:gridSpan w:val="2"/>
            <w:vMerge w:val="continue"/>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p>
        </w:tc>
        <w:tc>
          <w:tcPr>
            <w:tcW w:w="1846"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生态化经营面积≥60%；山核桃干腐病发生率</w:t>
            </w:r>
            <w:r>
              <w:rPr>
                <w:rFonts w:hint="eastAsia" w:ascii="仿宋_GB2312" w:hAnsi="仿宋_GB2312" w:cs="Times New Roman"/>
                <w:color w:val="000000"/>
                <w:sz w:val="18"/>
                <w:szCs w:val="18"/>
              </w:rPr>
              <w:t>&lt;</w:t>
            </w:r>
            <w:r>
              <w:rPr>
                <w:rFonts w:hint="eastAsia" w:ascii="仿宋_GB2312" w:cs="Times New Roman"/>
                <w:color w:val="000000"/>
                <w:sz w:val="18"/>
                <w:szCs w:val="18"/>
              </w:rPr>
              <w:t>5%；</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抚育后薄壳山核桃10</w:t>
            </w:r>
            <w:r>
              <w:rPr>
                <w:rFonts w:ascii="Arial" w:hAnsi="Arial" w:cs="Arial"/>
                <w:color w:val="000000"/>
                <w:sz w:val="18"/>
                <w:szCs w:val="18"/>
              </w:rPr>
              <w:t>~</w:t>
            </w:r>
            <w:r>
              <w:rPr>
                <w:rFonts w:hint="eastAsia" w:ascii="仿宋_GB2312" w:cs="Times New Roman"/>
                <w:color w:val="000000"/>
                <w:sz w:val="18"/>
                <w:szCs w:val="18"/>
              </w:rPr>
              <w:t>13株/亩、山核桃12</w:t>
            </w:r>
            <w:r>
              <w:rPr>
                <w:rFonts w:ascii="Arial" w:hAnsi="Arial" w:cs="Arial"/>
                <w:color w:val="000000"/>
                <w:sz w:val="18"/>
                <w:szCs w:val="18"/>
              </w:rPr>
              <w:t>~</w:t>
            </w:r>
            <w:r>
              <w:rPr>
                <w:rFonts w:hint="eastAsia" w:ascii="仿宋_GB2312" w:cs="Times New Roman"/>
                <w:color w:val="000000"/>
                <w:sz w:val="18"/>
                <w:szCs w:val="18"/>
              </w:rPr>
              <w:t>18株/亩。</w:t>
            </w:r>
          </w:p>
        </w:tc>
        <w:tc>
          <w:tcPr>
            <w:tcW w:w="1730"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1.山核桃栽培技术规程（DB 33/T 222—2021）</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2.薄壳山核桃生产技术规程（DB 33/T 2077—2017）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35" w:type="dxa"/>
            <w:vMerge w:val="restart"/>
            <w:tcBorders>
              <w:tl2br w:val="nil"/>
              <w:tr2bl w:val="nil"/>
            </w:tcBorders>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美丽生态廊道</w:t>
            </w:r>
          </w:p>
        </w:tc>
        <w:tc>
          <w:tcPr>
            <w:tcW w:w="371" w:type="dxa"/>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生态廊道</w:t>
            </w: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 xml:space="preserve">1.河流生态廊道 </w:t>
            </w:r>
          </w:p>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 xml:space="preserve">2.道路生态廊道 </w:t>
            </w:r>
          </w:p>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3.海岸生态廊道</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1.宜封则封：林相良好、无明显病虫害，暂无采取人工措施必要性的林分；有明确湿地保护管理责任主体、保护对象和保护面积的。</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2.宜抚则抚：具有培育潜力的珍贵树种和大径材林、木本油料林。</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3.宜补则补：对迹地、宜林地、规划造林地、疏林地、郁闭度</w:t>
            </w:r>
            <w:r>
              <w:rPr>
                <w:rFonts w:hint="eastAsia" w:ascii="仿宋_GB2312" w:hAnsi="仿宋_GB2312" w:cs="Times New Roman"/>
                <w:color w:val="000000"/>
                <w:sz w:val="18"/>
                <w:szCs w:val="18"/>
              </w:rPr>
              <w:t>&lt;</w:t>
            </w:r>
            <w:r>
              <w:rPr>
                <w:rFonts w:hint="eastAsia" w:ascii="仿宋_GB2312" w:cs="Times New Roman"/>
                <w:color w:val="000000"/>
                <w:sz w:val="18"/>
                <w:szCs w:val="18"/>
              </w:rPr>
              <w:t>0.4的乔木林、断带的林带树带及农田林网，开展补植；对茶园点缀补植景观树种。</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4.宜改则改：不具潜力的毛竹林、杉木林，郁闭度</w:t>
            </w:r>
            <w:r>
              <w:rPr>
                <w:rFonts w:hint="eastAsia" w:ascii="仿宋_GB2312" w:hAnsi="仿宋_GB2312" w:cs="Times New Roman"/>
                <w:color w:val="000000"/>
                <w:sz w:val="18"/>
                <w:szCs w:val="18"/>
              </w:rPr>
              <w:t>&gt;</w:t>
            </w:r>
            <w:r>
              <w:rPr>
                <w:rFonts w:hint="eastAsia" w:ascii="仿宋_GB2312" w:cs="Times New Roman"/>
                <w:color w:val="000000"/>
                <w:sz w:val="18"/>
                <w:szCs w:val="18"/>
              </w:rPr>
              <w:t>0.7的松木林，具改造潜力的它灌林开展林相改造；对需修复的湿地开展改造修复。</w:t>
            </w:r>
          </w:p>
          <w:p>
            <w:pPr>
              <w:adjustRightInd w:val="0"/>
              <w:snapToGrid w:val="0"/>
              <w:spacing w:line="240" w:lineRule="auto"/>
              <w:ind w:firstLine="0" w:firstLineChars="0"/>
              <w:jc w:val="left"/>
              <w:rPr>
                <w:rFonts w:ascii="仿宋_GB2312" w:cs="Times New Roman"/>
                <w:color w:val="000000"/>
                <w:sz w:val="18"/>
                <w:szCs w:val="18"/>
              </w:rPr>
            </w:pPr>
          </w:p>
        </w:tc>
        <w:tc>
          <w:tcPr>
            <w:tcW w:w="4109" w:type="dxa"/>
            <w:gridSpan w:val="3"/>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采取先验收、后认定的方式：</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根据美丽生态廊道认定评分表，详见美丽生态廊道建设指导意见。</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美丽生态廊道采用百分制认定进行考核验收，总分达80分为合格。详见美丽生态廊道认定评分表。</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认定打分说明：认定指标分为共性指标、生物多样性指标、生态防护指标和景观休闲指标四大项，其中：共性指标为必选项，剩余三项指标可选其一作为主项指标，其它指标为分项指标，共性指标、主项指标各占40分，分项指标20分，指标总分100分。其中：共性指标和主项指标需全部打分，分项指标可选任意2个认定项目进行打分。</w:t>
            </w:r>
          </w:p>
        </w:tc>
        <w:tc>
          <w:tcPr>
            <w:tcW w:w="1730"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1.造林技术规程（GB/T 15776）</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2.封山（沙）育林技术规程（GB/T 15163-2018）</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3.低效林改造技术规程（LY/T 1690）</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4.沿海防护林体系工程建设技术规程（LY/T 1763-2008）</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5.红树林建设技术规程（LY/T 1938-2011）</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6.农田防护林建设技术规程（DB 33/T 840—2011）</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7.高标准农田建设通则（GB／T 30600-2014）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35" w:type="dxa"/>
            <w:vMerge w:val="continue"/>
            <w:tcBorders>
              <w:tl2br w:val="nil"/>
              <w:tr2bl w:val="nil"/>
            </w:tcBorders>
          </w:tcPr>
          <w:p>
            <w:pPr>
              <w:adjustRightInd w:val="0"/>
              <w:snapToGrid w:val="0"/>
              <w:spacing w:line="240" w:lineRule="auto"/>
              <w:ind w:firstLine="0" w:firstLineChars="0"/>
              <w:jc w:val="center"/>
              <w:rPr>
                <w:rFonts w:ascii="仿宋_GB2312" w:cs="Times New Roman"/>
                <w:color w:val="000000"/>
                <w:kern w:val="0"/>
                <w:sz w:val="18"/>
                <w:szCs w:val="18"/>
                <w:lang w:bidi="ar"/>
              </w:rPr>
            </w:pPr>
          </w:p>
        </w:tc>
        <w:tc>
          <w:tcPr>
            <w:tcW w:w="371" w:type="dxa"/>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美丽林相</w:t>
            </w: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1.人工针叶纯林。</w:t>
            </w:r>
          </w:p>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2.缺乏目标景观树种的针阔混交林。</w:t>
            </w:r>
          </w:p>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3.缺乏目标景观树种的退化次生阔叶林。</w:t>
            </w:r>
          </w:p>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4.城镇周边、通道两侧、景区等重要区域与节点。</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美丽林相单块面积≥50亩。</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1.补植：补植阔叶树种，改善林相；</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2.间伐：间伐整理非目的树种，加强目的树种定向抚育，改善林相景观；</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3.割灌除草：清除可视范围林缘和重要区域节点灌草，提升景观透视度；</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4.综合抚育：</w:t>
            </w:r>
            <w:bookmarkStart w:id="1" w:name="_Hlk77838042"/>
            <w:r>
              <w:rPr>
                <w:rFonts w:hint="eastAsia" w:ascii="仿宋_GB2312" w:cs="Times New Roman"/>
                <w:color w:val="000000"/>
                <w:sz w:val="18"/>
                <w:szCs w:val="18"/>
              </w:rPr>
              <w:t>采取2种以上抚育措施。</w:t>
            </w:r>
          </w:p>
          <w:bookmarkEnd w:id="1"/>
          <w:p>
            <w:pPr>
              <w:adjustRightInd w:val="0"/>
              <w:snapToGrid w:val="0"/>
              <w:spacing w:line="240" w:lineRule="auto"/>
              <w:ind w:firstLine="0" w:firstLineChars="0"/>
              <w:jc w:val="left"/>
              <w:rPr>
                <w:rFonts w:ascii="仿宋_GB2312" w:cs="Times New Roman"/>
                <w:color w:val="000000"/>
                <w:sz w:val="18"/>
                <w:szCs w:val="18"/>
              </w:rPr>
            </w:pPr>
          </w:p>
        </w:tc>
        <w:tc>
          <w:tcPr>
            <w:tcW w:w="4109" w:type="dxa"/>
            <w:gridSpan w:val="3"/>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采取验收的方式：</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1.属于复层林的地块，复层林主林层郁闭度一般在0.3</w:t>
            </w:r>
            <w:r>
              <w:rPr>
                <w:rFonts w:ascii="Arial" w:hAnsi="Arial" w:cs="Arial"/>
                <w:color w:val="000000"/>
                <w:sz w:val="18"/>
                <w:szCs w:val="18"/>
              </w:rPr>
              <w:t>~</w:t>
            </w:r>
            <w:r>
              <w:rPr>
                <w:rFonts w:hint="eastAsia" w:ascii="仿宋_GB2312" w:cs="Times New Roman"/>
                <w:color w:val="000000"/>
                <w:sz w:val="18"/>
                <w:szCs w:val="18"/>
              </w:rPr>
              <w:t>0.5左右；次林层林冠高度应为主林冠的1/2</w:t>
            </w:r>
            <w:r>
              <w:rPr>
                <w:rFonts w:ascii="Arial" w:hAnsi="Arial" w:cs="Arial"/>
                <w:color w:val="000000"/>
                <w:sz w:val="18"/>
                <w:szCs w:val="18"/>
              </w:rPr>
              <w:t>~</w:t>
            </w:r>
            <w:r>
              <w:rPr>
                <w:rFonts w:hint="eastAsia" w:ascii="仿宋_GB2312" w:cs="Times New Roman"/>
                <w:color w:val="000000"/>
                <w:sz w:val="18"/>
                <w:szCs w:val="18"/>
              </w:rPr>
              <w:t>2/3；属于单层林的地块，阔叶混交林中落叶树种占1/3</w:t>
            </w:r>
            <w:r>
              <w:rPr>
                <w:rFonts w:ascii="Arial" w:hAnsi="Arial" w:cs="Arial"/>
                <w:color w:val="000000"/>
                <w:sz w:val="18"/>
                <w:szCs w:val="18"/>
              </w:rPr>
              <w:t>~</w:t>
            </w:r>
            <w:r>
              <w:rPr>
                <w:rFonts w:hint="eastAsia" w:ascii="仿宋_GB2312" w:cs="Times New Roman"/>
                <w:color w:val="000000"/>
                <w:sz w:val="18"/>
                <w:szCs w:val="18"/>
              </w:rPr>
              <w:t>2/3。</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2.林缘30米范围内林下灌草盖度</w:t>
            </w:r>
            <w:r>
              <w:rPr>
                <w:rFonts w:hint="eastAsia" w:ascii="仿宋_GB2312" w:hAnsi="仿宋_GB2312" w:cs="Times New Roman"/>
                <w:color w:val="000000"/>
                <w:sz w:val="18"/>
                <w:szCs w:val="18"/>
              </w:rPr>
              <w:t>&lt;</w:t>
            </w:r>
            <w:r>
              <w:rPr>
                <w:rFonts w:hint="eastAsia" w:ascii="仿宋_GB2312" w:cs="Times New Roman"/>
                <w:color w:val="000000"/>
                <w:sz w:val="18"/>
                <w:szCs w:val="18"/>
              </w:rPr>
              <w:t>10%。</w:t>
            </w:r>
          </w:p>
          <w:p>
            <w:pPr>
              <w:adjustRightInd w:val="0"/>
              <w:snapToGrid w:val="0"/>
              <w:spacing w:line="240" w:lineRule="auto"/>
              <w:ind w:firstLine="0" w:firstLineChars="0"/>
              <w:jc w:val="left"/>
              <w:rPr>
                <w:rFonts w:ascii="仿宋_GB2312" w:cs="Times New Roman"/>
                <w:color w:val="000000"/>
                <w:sz w:val="18"/>
                <w:szCs w:val="18"/>
              </w:rPr>
            </w:pPr>
          </w:p>
        </w:tc>
        <w:tc>
          <w:tcPr>
            <w:tcW w:w="1730"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1.森林抚育目标树选择和密度控制技术规程（DB33/T 2143）</w:t>
            </w:r>
          </w:p>
          <w:p>
            <w:pPr>
              <w:adjustRightInd w:val="0"/>
              <w:snapToGrid w:val="0"/>
              <w:spacing w:line="240" w:lineRule="auto"/>
              <w:ind w:firstLine="0" w:firstLineChars="0"/>
              <w:jc w:val="left"/>
              <w:rPr>
                <w:rFonts w:ascii="仿宋_GB2312" w:cs="Times New Roman"/>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35" w:type="dxa"/>
            <w:vMerge w:val="continue"/>
            <w:tcBorders>
              <w:tl2br w:val="nil"/>
              <w:tr2bl w:val="nil"/>
            </w:tcBorders>
          </w:tcPr>
          <w:p>
            <w:pPr>
              <w:adjustRightInd w:val="0"/>
              <w:snapToGrid w:val="0"/>
              <w:spacing w:line="240" w:lineRule="auto"/>
              <w:ind w:firstLine="0" w:firstLineChars="0"/>
              <w:jc w:val="center"/>
              <w:rPr>
                <w:rFonts w:ascii="仿宋_GB2312" w:cs="Times New Roman"/>
                <w:color w:val="000000"/>
                <w:kern w:val="0"/>
                <w:sz w:val="18"/>
                <w:szCs w:val="18"/>
                <w:highlight w:val="yellow"/>
                <w:lang w:bidi="ar"/>
              </w:rPr>
            </w:pPr>
            <w:bookmarkStart w:id="2" w:name="_Hlk73477513"/>
          </w:p>
          <w:bookmarkEnd w:id="2"/>
        </w:tc>
        <w:tc>
          <w:tcPr>
            <w:tcW w:w="371" w:type="dxa"/>
            <w:vMerge w:val="restart"/>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sz w:val="18"/>
                <w:szCs w:val="18"/>
              </w:rPr>
            </w:pPr>
            <w:r>
              <w:rPr>
                <w:rFonts w:hint="eastAsia" w:ascii="仿宋_GB2312" w:cs="Times New Roman"/>
                <w:color w:val="000000"/>
                <w:kern w:val="0"/>
                <w:sz w:val="18"/>
                <w:szCs w:val="18"/>
                <w:lang w:bidi="ar"/>
              </w:rPr>
              <w:t>湿地保护生态修复</w:t>
            </w: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生态状况良好的</w:t>
            </w:r>
          </w:p>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湿地</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湿地保护：</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通过建立各类自然保护地、饮用水源保护区、水产种质资源保护区、生态（文化）园、或采取乡规民约、巡护等方式手段，对湿地进行保护。</w:t>
            </w:r>
          </w:p>
        </w:tc>
        <w:tc>
          <w:tcPr>
            <w:tcW w:w="4109" w:type="dxa"/>
            <w:gridSpan w:val="3"/>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采取验收的方式：</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湿地保护管理责任主体明确、保护范围与面积明确、保护方式明确。</w:t>
            </w:r>
          </w:p>
        </w:tc>
        <w:tc>
          <w:tcPr>
            <w:tcW w:w="1730" w:type="dxa"/>
            <w:vMerge w:val="restart"/>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湿地生态恢复建设指导意见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35" w:type="dxa"/>
            <w:vMerge w:val="continue"/>
            <w:tcBorders>
              <w:tl2br w:val="nil"/>
              <w:tr2bl w:val="nil"/>
            </w:tcBorders>
          </w:tcPr>
          <w:p>
            <w:pPr>
              <w:adjustRightInd w:val="0"/>
              <w:snapToGrid w:val="0"/>
              <w:spacing w:line="240" w:lineRule="auto"/>
              <w:ind w:firstLine="0" w:firstLineChars="0"/>
              <w:jc w:val="center"/>
              <w:rPr>
                <w:rFonts w:ascii="仿宋_GB2312" w:cs="Times New Roman"/>
                <w:color w:val="000000"/>
                <w:kern w:val="0"/>
                <w:sz w:val="18"/>
                <w:szCs w:val="18"/>
                <w:lang w:bidi="ar"/>
              </w:rPr>
            </w:pPr>
          </w:p>
        </w:tc>
        <w:tc>
          <w:tcPr>
            <w:tcW w:w="371" w:type="dxa"/>
            <w:vMerge w:val="continue"/>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生态状况有提升空间的</w:t>
            </w:r>
          </w:p>
          <w:p>
            <w:pPr>
              <w:widowControl/>
              <w:adjustRightInd w:val="0"/>
              <w:snapToGrid w:val="0"/>
              <w:spacing w:line="240" w:lineRule="auto"/>
              <w:ind w:firstLine="0" w:firstLineChars="0"/>
              <w:jc w:val="center"/>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湿地</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湿地生态修复：</w:t>
            </w:r>
          </w:p>
          <w:p>
            <w:pPr>
              <w:adjustRightInd w:val="0"/>
              <w:snapToGrid w:val="0"/>
              <w:spacing w:line="240" w:lineRule="auto"/>
              <w:ind w:firstLine="0" w:firstLineChars="0"/>
              <w:jc w:val="left"/>
              <w:rPr>
                <w:rFonts w:ascii="仿宋_GB2312" w:cs="Times New Roman"/>
                <w:sz w:val="18"/>
                <w:szCs w:val="18"/>
              </w:rPr>
            </w:pPr>
            <w:r>
              <w:rPr>
                <w:rFonts w:hint="eastAsia" w:ascii="仿宋_GB2312" w:cs="Times New Roman"/>
                <w:color w:val="000000"/>
                <w:sz w:val="18"/>
                <w:szCs w:val="18"/>
              </w:rPr>
              <w:t>包括水文和水环境修复、基底结构与土壤修复、植被恢复、生境恢复与改善等，主要指以近自然方法，进行微地貌改造，修复湿地的基底结构，通过水流控制设施调节和管理水量、水位变化，恢复湿地水文状况，种植适生植物、构建合理的植被结构，清除外来入侵有害生物，改善生境。</w:t>
            </w:r>
          </w:p>
        </w:tc>
        <w:tc>
          <w:tcPr>
            <w:tcW w:w="4109" w:type="dxa"/>
            <w:gridSpan w:val="3"/>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kern w:val="0"/>
                <w:sz w:val="18"/>
                <w:szCs w:val="18"/>
                <w:lang w:bidi="ar"/>
              </w:rPr>
            </w:pPr>
            <w:r>
              <w:rPr>
                <w:rFonts w:hint="eastAsia" w:ascii="仿宋_GB2312" w:cs="Times New Roman"/>
                <w:color w:val="000000"/>
                <w:kern w:val="0"/>
                <w:sz w:val="18"/>
                <w:szCs w:val="18"/>
                <w:lang w:bidi="ar"/>
              </w:rPr>
              <w:t>采取验收的方式：</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kern w:val="0"/>
                <w:sz w:val="18"/>
                <w:szCs w:val="18"/>
                <w:lang w:bidi="ar"/>
              </w:rPr>
              <w:t>有相应的湿地修复方案、修复工程材料；湿地水质提升1个等次以上、湿地植被面积较上一年增加（图文对比），对湿地外来入侵有害生物开展了清理工作（有相应的材料记录、前后效果比对）。</w:t>
            </w:r>
          </w:p>
        </w:tc>
        <w:tc>
          <w:tcPr>
            <w:tcW w:w="1730" w:type="dxa"/>
            <w:vMerge w:val="continue"/>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35" w:type="dxa"/>
            <w:vMerge w:val="restart"/>
            <w:tcBorders>
              <w:tl2br w:val="nil"/>
              <w:tr2bl w:val="nil"/>
            </w:tcBorders>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健康森林建设</w:t>
            </w:r>
          </w:p>
        </w:tc>
        <w:tc>
          <w:tcPr>
            <w:tcW w:w="371" w:type="dxa"/>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疫木除治</w:t>
            </w: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松材线虫病疫情发生小班病死（濒死、枯死）松树。</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1.择伐：对松材线虫病疫情发生小班及其周边松林中的病死（濒死、枯死）松树进行采伐。择伐包括集中除治和即死即清2种方式。</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2.皆伐：原则上不采取皆伐。对发生面积</w:t>
            </w:r>
            <w:r>
              <w:rPr>
                <w:rFonts w:hint="eastAsia" w:ascii="仿宋_GB2312" w:hAnsi="仿宋_GB2312" w:cs="Times New Roman"/>
                <w:color w:val="000000"/>
                <w:sz w:val="18"/>
                <w:szCs w:val="18"/>
              </w:rPr>
              <w:t>≤</w:t>
            </w:r>
            <w:r>
              <w:rPr>
                <w:rFonts w:hint="eastAsia" w:ascii="仿宋_GB2312" w:cs="Times New Roman"/>
                <w:color w:val="000000"/>
                <w:sz w:val="18"/>
                <w:szCs w:val="18"/>
              </w:rPr>
              <w:t>100亩且当年能够实现无疫情的孤立疫点，经县级及以上林业主管部门同意后，可采取皆伐措施，并及时进行造林。</w:t>
            </w:r>
          </w:p>
        </w:tc>
        <w:tc>
          <w:tcPr>
            <w:tcW w:w="4109" w:type="dxa"/>
            <w:gridSpan w:val="3"/>
            <w:vMerge w:val="restart"/>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kern w:val="0"/>
                <w:sz w:val="18"/>
                <w:szCs w:val="18"/>
                <w:lang w:bidi="ar"/>
              </w:rPr>
            </w:pPr>
            <w:r>
              <w:rPr>
                <w:rFonts w:hint="eastAsia" w:ascii="仿宋_GB2312" w:cs="Times New Roman"/>
                <w:color w:val="000000"/>
                <w:kern w:val="0"/>
                <w:sz w:val="18"/>
                <w:szCs w:val="18"/>
                <w:lang w:bidi="ar"/>
              </w:rPr>
              <w:t>采用验收的方式：</w:t>
            </w:r>
          </w:p>
          <w:p>
            <w:pPr>
              <w:adjustRightInd w:val="0"/>
              <w:snapToGrid w:val="0"/>
              <w:spacing w:line="240" w:lineRule="auto"/>
              <w:ind w:firstLine="0" w:firstLineChars="0"/>
              <w:jc w:val="left"/>
              <w:rPr>
                <w:rFonts w:ascii="仿宋_GB2312" w:cs="Times New Roman"/>
                <w:color w:val="000000"/>
                <w:kern w:val="0"/>
                <w:sz w:val="18"/>
                <w:szCs w:val="18"/>
                <w:lang w:bidi="ar"/>
              </w:rPr>
            </w:pPr>
            <w:r>
              <w:rPr>
                <w:rFonts w:hint="eastAsia" w:ascii="仿宋_GB2312" w:cs="Times New Roman"/>
                <w:color w:val="000000"/>
                <w:kern w:val="0"/>
                <w:sz w:val="18"/>
                <w:szCs w:val="18"/>
                <w:lang w:bidi="ar"/>
              </w:rPr>
              <w:t>1.目标林分内，原疫情小班实现无疫情或病死松树比例占松树总量的1%以下。</w:t>
            </w:r>
          </w:p>
          <w:p>
            <w:pPr>
              <w:adjustRightInd w:val="0"/>
              <w:snapToGrid w:val="0"/>
              <w:spacing w:line="240" w:lineRule="auto"/>
              <w:ind w:firstLine="0" w:firstLineChars="0"/>
              <w:jc w:val="left"/>
              <w:rPr>
                <w:rFonts w:ascii="仿宋_GB2312" w:cs="Times New Roman"/>
                <w:color w:val="000000"/>
                <w:kern w:val="0"/>
                <w:sz w:val="18"/>
                <w:szCs w:val="18"/>
                <w:lang w:bidi="ar"/>
              </w:rPr>
            </w:pPr>
            <w:r>
              <w:rPr>
                <w:rFonts w:hint="eastAsia" w:ascii="仿宋_GB2312" w:cs="Times New Roman"/>
                <w:color w:val="000000"/>
                <w:kern w:val="0"/>
                <w:sz w:val="18"/>
                <w:szCs w:val="18"/>
                <w:lang w:bidi="ar"/>
              </w:rPr>
              <w:t>2.主动改造小班内无胸径15厘米以下松木。</w:t>
            </w:r>
          </w:p>
          <w:p>
            <w:pPr>
              <w:adjustRightInd w:val="0"/>
              <w:snapToGrid w:val="0"/>
              <w:spacing w:line="240" w:lineRule="auto"/>
              <w:ind w:firstLine="0" w:firstLineChars="0"/>
              <w:jc w:val="left"/>
              <w:rPr>
                <w:rFonts w:ascii="仿宋_GB2312" w:cs="Times New Roman"/>
                <w:color w:val="000000"/>
                <w:kern w:val="0"/>
                <w:sz w:val="18"/>
                <w:szCs w:val="18"/>
                <w:lang w:bidi="ar"/>
              </w:rPr>
            </w:pPr>
          </w:p>
        </w:tc>
        <w:tc>
          <w:tcPr>
            <w:tcW w:w="1730" w:type="dxa"/>
            <w:vMerge w:val="restart"/>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1.《松材线虫病疫木清理技术规范（LY/T1865—2009）》；</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2.国家林业局《松材线虫病疫区和疫木管理办法》（林生发2018〕117号）</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3.《浙江省松材线虫病山场除治技术规范（试行）》。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35" w:type="dxa"/>
            <w:vMerge w:val="continue"/>
            <w:tcBorders>
              <w:tl2br w:val="nil"/>
              <w:tr2bl w:val="nil"/>
            </w:tcBorders>
          </w:tcPr>
          <w:p>
            <w:pPr>
              <w:adjustRightInd w:val="0"/>
              <w:snapToGrid w:val="0"/>
              <w:spacing w:line="240" w:lineRule="auto"/>
              <w:ind w:firstLine="0" w:firstLineChars="0"/>
              <w:jc w:val="center"/>
              <w:rPr>
                <w:rFonts w:ascii="仿宋_GB2312" w:cs="Times New Roman"/>
                <w:color w:val="000000"/>
                <w:kern w:val="0"/>
                <w:sz w:val="18"/>
                <w:szCs w:val="18"/>
                <w:lang w:bidi="ar"/>
              </w:rPr>
            </w:pPr>
          </w:p>
        </w:tc>
        <w:tc>
          <w:tcPr>
            <w:tcW w:w="371" w:type="dxa"/>
            <w:tcBorders>
              <w:tl2br w:val="nil"/>
              <w:tr2bl w:val="nil"/>
            </w:tcBorders>
            <w:shd w:val="clear" w:color="auto" w:fill="auto"/>
            <w:vAlign w:val="center"/>
          </w:tcPr>
          <w:p>
            <w:pPr>
              <w:adjustRightInd w:val="0"/>
              <w:snapToGrid w:val="0"/>
              <w:spacing w:line="240" w:lineRule="auto"/>
              <w:ind w:firstLine="0" w:firstLineChars="0"/>
              <w:jc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主动改造</w:t>
            </w:r>
          </w:p>
        </w:tc>
        <w:tc>
          <w:tcPr>
            <w:tcW w:w="2035" w:type="dxa"/>
            <w:tcBorders>
              <w:tl2br w:val="nil"/>
              <w:tr2bl w:val="nil"/>
            </w:tcBorders>
            <w:shd w:val="clear" w:color="auto" w:fill="auto"/>
            <w:vAlign w:val="center"/>
          </w:tcPr>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1、受松材线虫病疫情影响较严重的小班及其周边小班。</w:t>
            </w:r>
          </w:p>
          <w:p>
            <w:pPr>
              <w:widowControl/>
              <w:adjustRightInd w:val="0"/>
              <w:snapToGrid w:val="0"/>
              <w:spacing w:line="240" w:lineRule="auto"/>
              <w:ind w:firstLine="0" w:firstLineChars="0"/>
              <w:jc w:val="left"/>
              <w:textAlignment w:val="center"/>
              <w:rPr>
                <w:rFonts w:ascii="仿宋_GB2312" w:cs="Times New Roman"/>
                <w:color w:val="000000"/>
                <w:kern w:val="0"/>
                <w:sz w:val="18"/>
                <w:szCs w:val="18"/>
                <w:lang w:bidi="ar"/>
              </w:rPr>
            </w:pPr>
            <w:r>
              <w:rPr>
                <w:rFonts w:hint="eastAsia" w:ascii="仿宋_GB2312" w:cs="Times New Roman"/>
                <w:color w:val="000000"/>
                <w:kern w:val="0"/>
                <w:sz w:val="18"/>
                <w:szCs w:val="18"/>
                <w:lang w:bidi="ar"/>
              </w:rPr>
              <w:t>2、经县级政府同意，有改造需求的、松木占比较高的低产林、低效林。</w:t>
            </w:r>
          </w:p>
        </w:tc>
        <w:tc>
          <w:tcPr>
            <w:tcW w:w="5811" w:type="dxa"/>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1.按照伐小留大、伐弱留强的要求，开展块状择伐，均匀伐除胸径</w:t>
            </w:r>
            <w:r>
              <w:rPr>
                <w:rFonts w:hint="eastAsia" w:ascii="仿宋_GB2312" w:hAnsi="仿宋_GB2312" w:cs="Times New Roman"/>
                <w:color w:val="000000"/>
                <w:sz w:val="18"/>
                <w:szCs w:val="18"/>
              </w:rPr>
              <w:t>&lt;</w:t>
            </w:r>
            <w:r>
              <w:rPr>
                <w:rFonts w:hint="eastAsia" w:ascii="仿宋_GB2312" w:cs="Times New Roman"/>
                <w:color w:val="000000"/>
                <w:sz w:val="18"/>
                <w:szCs w:val="18"/>
              </w:rPr>
              <w:t>15厘米以下的松木，不造成大的天窗。禁止采伐阔叶树种。</w:t>
            </w:r>
          </w:p>
          <w:p>
            <w:pPr>
              <w:adjustRightInd w:val="0"/>
              <w:snapToGrid w:val="0"/>
              <w:spacing w:line="240" w:lineRule="auto"/>
              <w:ind w:firstLine="0" w:firstLineChars="0"/>
              <w:jc w:val="left"/>
              <w:rPr>
                <w:rFonts w:ascii="仿宋_GB2312" w:cs="Times New Roman"/>
                <w:color w:val="000000"/>
                <w:sz w:val="18"/>
                <w:szCs w:val="18"/>
              </w:rPr>
            </w:pPr>
            <w:r>
              <w:rPr>
                <w:rFonts w:hint="eastAsia" w:ascii="仿宋_GB2312" w:cs="Times New Roman"/>
                <w:color w:val="000000"/>
                <w:sz w:val="18"/>
                <w:szCs w:val="18"/>
              </w:rPr>
              <w:t>2.对生态公益林以及胸径</w:t>
            </w:r>
            <w:r>
              <w:rPr>
                <w:rFonts w:hint="eastAsia" w:ascii="仿宋_GB2312" w:hAnsi="仿宋_GB2312" w:cs="Times New Roman"/>
                <w:color w:val="000000"/>
                <w:sz w:val="18"/>
                <w:szCs w:val="18"/>
              </w:rPr>
              <w:t>&lt;</w:t>
            </w:r>
            <w:r>
              <w:rPr>
                <w:rFonts w:hint="eastAsia" w:ascii="仿宋_GB2312" w:cs="Times New Roman"/>
                <w:color w:val="000000"/>
                <w:sz w:val="18"/>
                <w:szCs w:val="18"/>
              </w:rPr>
              <w:t>15厘米的松木占比较高的林分，采伐强度≤40%。</w:t>
            </w:r>
          </w:p>
        </w:tc>
        <w:tc>
          <w:tcPr>
            <w:tcW w:w="4109" w:type="dxa"/>
            <w:gridSpan w:val="3"/>
            <w:vMerge w:val="continue"/>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kern w:val="0"/>
                <w:sz w:val="18"/>
                <w:szCs w:val="18"/>
                <w:lang w:bidi="ar"/>
              </w:rPr>
            </w:pPr>
          </w:p>
        </w:tc>
        <w:tc>
          <w:tcPr>
            <w:tcW w:w="1730" w:type="dxa"/>
            <w:vMerge w:val="continue"/>
            <w:tcBorders>
              <w:tl2br w:val="nil"/>
              <w:tr2bl w:val="nil"/>
            </w:tcBorders>
            <w:shd w:val="clear" w:color="auto" w:fill="auto"/>
            <w:vAlign w:val="center"/>
          </w:tcPr>
          <w:p>
            <w:pPr>
              <w:adjustRightInd w:val="0"/>
              <w:snapToGrid w:val="0"/>
              <w:spacing w:line="240" w:lineRule="auto"/>
              <w:ind w:firstLine="0" w:firstLineChars="0"/>
              <w:jc w:val="left"/>
              <w:rPr>
                <w:rFonts w:ascii="仿宋_GB2312" w:cs="Times New Roman"/>
                <w:color w:val="000000"/>
                <w:sz w:val="18"/>
                <w:szCs w:val="18"/>
              </w:rPr>
            </w:pPr>
          </w:p>
        </w:tc>
      </w:tr>
    </w:tbl>
    <w:p>
      <w:pPr>
        <w:spacing w:line="680" w:lineRule="exact"/>
        <w:ind w:firstLine="723"/>
        <w:rPr>
          <w:rFonts w:eastAsia="宋体" w:cs="Times New Roman"/>
          <w:b/>
          <w:sz w:val="36"/>
          <w:szCs w:val="36"/>
        </w:rPr>
        <w:sectPr>
          <w:footerReference r:id="rId11" w:type="default"/>
          <w:pgSz w:w="16838" w:h="11906" w:orient="landscape"/>
          <w:pgMar w:top="1418" w:right="1134" w:bottom="1134" w:left="1361" w:header="851" w:footer="1247" w:gutter="0"/>
          <w:pgNumType w:start="1"/>
          <w:cols w:space="425" w:num="1"/>
          <w:docGrid w:type="lines" w:linePitch="312" w:charSpace="0"/>
        </w:sectPr>
      </w:pPr>
    </w:p>
    <w:p>
      <w:pPr>
        <w:pStyle w:val="2"/>
        <w:spacing w:before="0" w:after="0"/>
        <w:ind w:firstLine="0" w:firstLineChars="0"/>
        <w:rPr>
          <w:rFonts w:ascii="方正小标宋简体" w:eastAsia="方正小标宋简体" w:cs="Times New Roman"/>
          <w:b w:val="0"/>
          <w:sz w:val="44"/>
        </w:rPr>
      </w:pPr>
      <w:bookmarkStart w:id="3" w:name="_Toc80367063"/>
      <w:r>
        <w:rPr>
          <w:rFonts w:hint="eastAsia" w:ascii="方正小标宋简体" w:eastAsia="方正小标宋简体" w:cs="Times New Roman"/>
          <w:b w:val="0"/>
          <w:sz w:val="44"/>
        </w:rPr>
        <w:t>二、中幼林抚育建设指导意见</w:t>
      </w:r>
      <w:bookmarkEnd w:id="3"/>
    </w:p>
    <w:p>
      <w:pPr>
        <w:ind w:firstLine="640"/>
        <w:rPr>
          <w:rFonts w:ascii="仿宋_GB2312"/>
        </w:rPr>
      </w:pPr>
    </w:p>
    <w:p>
      <w:pPr>
        <w:ind w:firstLine="640"/>
        <w:rPr>
          <w:rFonts w:ascii="黑体" w:hAnsi="黑体" w:eastAsia="黑体" w:cs="Times New Roman"/>
          <w:bCs/>
          <w:szCs w:val="32"/>
        </w:rPr>
      </w:pPr>
      <w:r>
        <w:rPr>
          <w:rFonts w:hint="eastAsia" w:ascii="黑体" w:hAnsi="黑体" w:eastAsia="黑体" w:cs="Times New Roman"/>
          <w:bCs/>
          <w:szCs w:val="32"/>
        </w:rPr>
        <w:t>1范围</w:t>
      </w:r>
    </w:p>
    <w:p>
      <w:pPr>
        <w:ind w:firstLine="640"/>
        <w:rPr>
          <w:rFonts w:ascii="仿宋_GB2312" w:cs="Times New Roman"/>
          <w:szCs w:val="32"/>
        </w:rPr>
      </w:pPr>
      <w:r>
        <w:rPr>
          <w:rFonts w:hint="eastAsia" w:ascii="仿宋_GB2312" w:cs="Times New Roman"/>
          <w:szCs w:val="32"/>
        </w:rPr>
        <w:t>本指导意见规定了中幼龄林抚育的对象、抚育条件、措施、方法、技术指标等基本要求。</w:t>
      </w:r>
    </w:p>
    <w:p>
      <w:pPr>
        <w:ind w:firstLine="640"/>
        <w:rPr>
          <w:rFonts w:ascii="仿宋_GB2312" w:cs="Times New Roman"/>
          <w:szCs w:val="32"/>
        </w:rPr>
      </w:pPr>
      <w:r>
        <w:rPr>
          <w:rFonts w:hint="eastAsia" w:ascii="仿宋_GB2312" w:cs="Times New Roman"/>
          <w:szCs w:val="32"/>
        </w:rPr>
        <w:t>本指导意见适用于浙江省组织的用材林、防护林的中幼林抚育（中央财政森林抚育仍按国家林业局相关文件、规程执行）</w:t>
      </w:r>
    </w:p>
    <w:p>
      <w:pPr>
        <w:ind w:firstLine="640"/>
        <w:rPr>
          <w:rFonts w:ascii="黑体" w:hAnsi="黑体" w:eastAsia="黑体" w:cs="Times New Roman"/>
          <w:bCs/>
          <w:szCs w:val="32"/>
        </w:rPr>
      </w:pPr>
      <w:r>
        <w:rPr>
          <w:rFonts w:hint="eastAsia" w:ascii="黑体" w:hAnsi="黑体" w:eastAsia="黑体" w:cs="Times New Roman"/>
          <w:bCs/>
          <w:szCs w:val="32"/>
        </w:rPr>
        <w:t>2规范性引用文件</w:t>
      </w:r>
    </w:p>
    <w:p>
      <w:pPr>
        <w:ind w:firstLine="640"/>
        <w:rPr>
          <w:rFonts w:ascii="仿宋_GB2312" w:cs="Times New Roman"/>
          <w:szCs w:val="32"/>
        </w:rPr>
      </w:pPr>
      <w:r>
        <w:rPr>
          <w:rFonts w:hint="eastAsia" w:ascii="仿宋_GB2312" w:cs="Times New Roman"/>
          <w:szCs w:val="32"/>
        </w:rPr>
        <w:t>下列文件对于本指导意见的应用必不可少。凡是注日期的引用文件，仅注日期的版本适合本指导意见。凡是不注日期的引用文件，其最新版本（包括所有的修改单）适用于本指导意见。</w:t>
      </w:r>
    </w:p>
    <w:p>
      <w:pPr>
        <w:ind w:firstLine="640"/>
        <w:rPr>
          <w:rFonts w:ascii="仿宋_GB2312" w:cs="Times New Roman"/>
          <w:szCs w:val="32"/>
        </w:rPr>
      </w:pPr>
      <w:r>
        <w:rPr>
          <w:rFonts w:hint="eastAsia" w:ascii="仿宋_GB2312" w:cs="Times New Roman"/>
          <w:szCs w:val="32"/>
        </w:rPr>
        <w:t>GB/T 15781 森林抚育规程</w:t>
      </w:r>
    </w:p>
    <w:p>
      <w:pPr>
        <w:ind w:firstLine="640"/>
        <w:rPr>
          <w:rFonts w:ascii="仿宋_GB2312" w:cs="Times New Roman"/>
          <w:szCs w:val="32"/>
        </w:rPr>
      </w:pPr>
      <w:r>
        <w:rPr>
          <w:rFonts w:hint="eastAsia" w:ascii="仿宋_GB2312" w:cs="Times New Roman"/>
          <w:szCs w:val="32"/>
        </w:rPr>
        <w:t>GB/T 26424 森林资源规划设计调查技术规程</w:t>
      </w:r>
    </w:p>
    <w:p>
      <w:pPr>
        <w:ind w:firstLine="640"/>
        <w:rPr>
          <w:rFonts w:ascii="仿宋_GB2312" w:cs="Times New Roman"/>
          <w:szCs w:val="32"/>
        </w:rPr>
      </w:pPr>
      <w:r>
        <w:rPr>
          <w:rFonts w:hint="eastAsia" w:ascii="仿宋_GB2312" w:cs="Times New Roman"/>
          <w:szCs w:val="32"/>
        </w:rPr>
        <w:t>LY/T 1646 森林采伐作业规程</w:t>
      </w:r>
    </w:p>
    <w:p>
      <w:pPr>
        <w:ind w:firstLine="640"/>
        <w:rPr>
          <w:rFonts w:ascii="黑体" w:hAnsi="黑体" w:eastAsia="黑体" w:cs="Times New Roman"/>
          <w:bCs/>
          <w:szCs w:val="32"/>
        </w:rPr>
      </w:pPr>
      <w:r>
        <w:rPr>
          <w:rFonts w:hint="eastAsia" w:ascii="黑体" w:hAnsi="黑体" w:eastAsia="黑体" w:cs="Times New Roman"/>
          <w:bCs/>
          <w:szCs w:val="32"/>
        </w:rPr>
        <w:t>3各抚育方式适用条件及控制指标</w:t>
      </w:r>
    </w:p>
    <w:p>
      <w:pPr>
        <w:ind w:firstLine="640"/>
        <w:rPr>
          <w:rFonts w:ascii="仿宋_GB2312" w:cs="Times New Roman"/>
          <w:szCs w:val="32"/>
        </w:rPr>
      </w:pPr>
      <w:r>
        <w:rPr>
          <w:rFonts w:hint="eastAsia" w:ascii="仿宋_GB2312" w:cs="Times New Roman"/>
          <w:szCs w:val="32"/>
        </w:rPr>
        <w:t>幼龄林实施需包含疏伐、补植、割灌除草等2项以上抚育内容的综合抚育，综合抚育措施应当同时实施，避免分头作业。中龄林可实施生长伐、疏伐、补植或综合抚育。</w:t>
      </w:r>
    </w:p>
    <w:p>
      <w:pPr>
        <w:ind w:firstLine="640"/>
        <w:rPr>
          <w:rFonts w:ascii="楷体_GB2312" w:eastAsia="楷体_GB2312" w:cs="Times New Roman"/>
          <w:szCs w:val="32"/>
        </w:rPr>
      </w:pPr>
      <w:r>
        <w:rPr>
          <w:rFonts w:hint="eastAsia" w:ascii="楷体_GB2312" w:eastAsia="楷体_GB2312" w:cs="Times New Roman"/>
          <w:szCs w:val="32"/>
        </w:rPr>
        <w:t>3.1割灌除草</w:t>
      </w:r>
    </w:p>
    <w:p>
      <w:pPr>
        <w:ind w:firstLine="640"/>
        <w:rPr>
          <w:rFonts w:ascii="仿宋_GB2312" w:cs="Times New Roman"/>
          <w:szCs w:val="32"/>
        </w:rPr>
      </w:pPr>
      <w:r>
        <w:rPr>
          <w:rFonts w:hint="eastAsia" w:ascii="仿宋_GB2312" w:cs="Times New Roman"/>
          <w:szCs w:val="32"/>
        </w:rPr>
        <w:t>幼龄林阶段，目的树种幼树高度低于周边杂灌杂草、藤本植物，生长发育受到显著影响可以采用割灌除草。采取割灌除草抚育后林分中影响目的树种幼树生长的杂灌杂草和藤本植物全部割除，注意保护珍稀树木，提倡局部割灌，避免全面割灌。</w:t>
      </w:r>
    </w:p>
    <w:p>
      <w:pPr>
        <w:ind w:firstLine="640"/>
        <w:rPr>
          <w:rFonts w:ascii="楷体_GB2312" w:eastAsia="楷体_GB2312" w:cs="Times New Roman"/>
          <w:szCs w:val="32"/>
        </w:rPr>
      </w:pPr>
      <w:r>
        <w:rPr>
          <w:rFonts w:hint="eastAsia" w:ascii="楷体_GB2312" w:eastAsia="楷体_GB2312" w:cs="Times New Roman"/>
          <w:szCs w:val="32"/>
        </w:rPr>
        <w:t>3.2间伐（疏伐）</w:t>
      </w:r>
    </w:p>
    <w:p>
      <w:pPr>
        <w:ind w:firstLine="640"/>
        <w:rPr>
          <w:rFonts w:ascii="仿宋_GB2312" w:cs="Times New Roman"/>
          <w:szCs w:val="32"/>
        </w:rPr>
      </w:pPr>
      <w:r>
        <w:rPr>
          <w:rFonts w:hint="eastAsia" w:ascii="仿宋_GB2312" w:cs="Times New Roman"/>
          <w:szCs w:val="32"/>
        </w:rPr>
        <w:t>幼、中龄林阶段，林木间对光、空间等开始产生比较激烈的竞争时可以采用疏伐。采取疏伐抚育后林分郁闭度≥0.5，目的树种平均胸径不低于伐前平均胸径，林木分布均匀无林窗和林中空地。</w:t>
      </w:r>
    </w:p>
    <w:p>
      <w:pPr>
        <w:ind w:firstLine="640"/>
        <w:rPr>
          <w:rFonts w:ascii="楷体_GB2312" w:eastAsia="楷体_GB2312" w:cs="Times New Roman"/>
          <w:szCs w:val="32"/>
        </w:rPr>
      </w:pPr>
      <w:r>
        <w:rPr>
          <w:rFonts w:hint="eastAsia" w:ascii="楷体_GB2312" w:eastAsia="楷体_GB2312" w:cs="Times New Roman"/>
          <w:szCs w:val="32"/>
        </w:rPr>
        <w:t>3.3间伐（生长伐）</w:t>
      </w:r>
    </w:p>
    <w:p>
      <w:pPr>
        <w:ind w:firstLine="640"/>
        <w:rPr>
          <w:rFonts w:ascii="仿宋_GB2312" w:cs="Times New Roman"/>
          <w:szCs w:val="32"/>
        </w:rPr>
      </w:pPr>
      <w:r>
        <w:rPr>
          <w:rFonts w:hint="eastAsia" w:ascii="仿宋_GB2312" w:cs="Times New Roman"/>
          <w:szCs w:val="32"/>
        </w:rPr>
        <w:t>在中龄林阶段，林木间竞争激烈影响生长可以采用生长伐。生长伐的株树采伐强度≥10%。采取生长伐抚育后林分郁闭度≥0.5，林分平均胸径不低于伐前平均胸径，林木分布均匀无林窗和林中空地。</w:t>
      </w:r>
    </w:p>
    <w:p>
      <w:pPr>
        <w:ind w:firstLine="640"/>
        <w:rPr>
          <w:rFonts w:ascii="楷体_GB2312" w:eastAsia="楷体_GB2312" w:cs="Times New Roman"/>
          <w:szCs w:val="32"/>
        </w:rPr>
      </w:pPr>
      <w:r>
        <w:rPr>
          <w:rFonts w:hint="eastAsia" w:ascii="楷体_GB2312" w:eastAsia="楷体_GB2312" w:cs="Times New Roman"/>
          <w:szCs w:val="32"/>
        </w:rPr>
        <w:t>3.4补植</w:t>
      </w:r>
    </w:p>
    <w:p>
      <w:pPr>
        <w:ind w:firstLine="640"/>
        <w:rPr>
          <w:rFonts w:ascii="仿宋_GB2312" w:cs="Times New Roman"/>
          <w:szCs w:val="32"/>
        </w:rPr>
      </w:pPr>
      <w:r>
        <w:rPr>
          <w:rFonts w:hint="eastAsia" w:ascii="仿宋_GB2312" w:cs="Times New Roman"/>
          <w:szCs w:val="32"/>
        </w:rPr>
        <w:t>在幼、中龄林阶段，郁闭度</w:t>
      </w:r>
      <w:r>
        <w:rPr>
          <w:rFonts w:hint="eastAsia" w:ascii="仿宋_GB2312" w:hAnsi="仿宋_GB2312" w:cs="Times New Roman"/>
          <w:szCs w:val="32"/>
        </w:rPr>
        <w:t>&lt;</w:t>
      </w:r>
      <w:r>
        <w:rPr>
          <w:rFonts w:hint="eastAsia" w:ascii="仿宋_GB2312" w:cs="Times New Roman"/>
          <w:szCs w:val="32"/>
        </w:rPr>
        <w:t>0.5或有林中空地的林分可以采用补植。采取补植抚育后林分内目的树种≥30株/亩，分布均匀，无林窗，补植成活率≥85%。</w:t>
      </w:r>
    </w:p>
    <w:p>
      <w:pPr>
        <w:ind w:firstLine="640"/>
        <w:rPr>
          <w:rFonts w:ascii="楷体_GB2312" w:eastAsia="楷体_GB2312" w:cs="Times New Roman"/>
          <w:szCs w:val="32"/>
        </w:rPr>
      </w:pPr>
      <w:r>
        <w:rPr>
          <w:rFonts w:hint="eastAsia" w:ascii="楷体_GB2312" w:eastAsia="楷体_GB2312" w:cs="Times New Roman"/>
          <w:szCs w:val="32"/>
        </w:rPr>
        <w:t>3.5综合抚育</w:t>
      </w:r>
    </w:p>
    <w:p>
      <w:pPr>
        <w:ind w:firstLine="640"/>
        <w:rPr>
          <w:rFonts w:ascii="仿宋_GB2312" w:cs="Times New Roman"/>
          <w:szCs w:val="32"/>
        </w:rPr>
      </w:pPr>
      <w:r>
        <w:rPr>
          <w:rFonts w:hint="eastAsia" w:ascii="仿宋_GB2312" w:cs="Times New Roman"/>
          <w:szCs w:val="32"/>
        </w:rPr>
        <w:t>复杂林分，实行2种或以上抚育方式配套组合。综合抚育措施应当同时实施，避免分头作业，并结合修枝、浇水、施肥等措施。</w:t>
      </w:r>
    </w:p>
    <w:p>
      <w:pPr>
        <w:ind w:firstLine="640"/>
        <w:rPr>
          <w:rFonts w:ascii="楷体_GB2312" w:eastAsia="楷体_GB2312" w:cs="Times New Roman"/>
          <w:szCs w:val="32"/>
        </w:rPr>
      </w:pPr>
      <w:r>
        <w:rPr>
          <w:rFonts w:hint="eastAsia" w:ascii="楷体_GB2312" w:eastAsia="楷体_GB2312" w:cs="Times New Roman"/>
          <w:szCs w:val="32"/>
        </w:rPr>
        <w:t>3.6抚育采伐控制强度</w:t>
      </w:r>
    </w:p>
    <w:p>
      <w:pPr>
        <w:ind w:firstLine="640"/>
        <w:rPr>
          <w:rFonts w:ascii="仿宋_GB2312" w:cs="Times New Roman"/>
          <w:szCs w:val="32"/>
        </w:rPr>
      </w:pPr>
      <w:r>
        <w:rPr>
          <w:rFonts w:hint="eastAsia" w:ascii="仿宋_GB2312" w:cs="Times New Roman"/>
          <w:szCs w:val="32"/>
        </w:rPr>
        <w:t>公益林抚育采伐后林分平均胸径不低于伐前平均胸径；重点公益林、天然阔叶林抚育采伐强度≤15%，伐后郁闭度≥0.7，但灾害木清理等特殊情形除外；重点公益林中实施林相改造、珍贵彩色健康森林建设等省级以上林业工程项目的，天然松林、人工针叶林抚育采伐强度≤40%，伐后郁闭度≥0.5；一般公益林及商品林抚育采伐强度不得超过伐前林分蓄积的40%，伐后郁闭度≥0.5。</w:t>
      </w:r>
    </w:p>
    <w:p>
      <w:pPr>
        <w:ind w:firstLine="640"/>
        <w:rPr>
          <w:rFonts w:ascii="黑体" w:hAnsi="黑体" w:eastAsia="黑体" w:cs="Times New Roman"/>
          <w:bCs/>
          <w:szCs w:val="32"/>
        </w:rPr>
      </w:pPr>
      <w:r>
        <w:rPr>
          <w:rFonts w:hint="eastAsia" w:ascii="黑体" w:hAnsi="黑体" w:eastAsia="黑体" w:cs="Times New Roman"/>
          <w:bCs/>
          <w:szCs w:val="32"/>
        </w:rPr>
        <w:t>4检查验收标准</w:t>
      </w:r>
    </w:p>
    <w:p>
      <w:pPr>
        <w:ind w:firstLine="640"/>
        <w:rPr>
          <w:rFonts w:ascii="仿宋_GB2312" w:cs="Times New Roman"/>
          <w:szCs w:val="32"/>
        </w:rPr>
      </w:pPr>
      <w:r>
        <w:rPr>
          <w:rFonts w:hint="eastAsia" w:ascii="仿宋_GB2312" w:cs="Times New Roman"/>
          <w:szCs w:val="32"/>
        </w:rPr>
        <w:t>检查验收结果采取百分制，总分达85分为合格。详见中幼林抚育作业质量检查表。其中，出现无证采伐或作业地点、抚育对象、抚育方式错误的，即判定为不合格作业区。</w:t>
      </w:r>
    </w:p>
    <w:p>
      <w:pPr>
        <w:spacing w:after="156" w:afterLines="50" w:line="520" w:lineRule="exact"/>
        <w:ind w:firstLine="0" w:firstLineChars="0"/>
        <w:jc w:val="center"/>
        <w:rPr>
          <w:rFonts w:ascii="方正小标宋简体" w:eastAsia="方正小标宋简体" w:cs="Times New Roman"/>
          <w:sz w:val="28"/>
          <w:szCs w:val="28"/>
        </w:rPr>
      </w:pPr>
      <w:r>
        <w:rPr>
          <w:rFonts w:hint="eastAsia" w:ascii="方正小标宋简体" w:eastAsia="方正小标宋简体" w:cs="Times New Roman"/>
          <w:sz w:val="28"/>
          <w:szCs w:val="28"/>
        </w:rPr>
        <w:t>中幼林抚育作业质量检查表</w:t>
      </w:r>
    </w:p>
    <w:tbl>
      <w:tblPr>
        <w:tblStyle w:val="13"/>
        <w:tblW w:w="9179" w:type="dxa"/>
        <w:jc w:val="center"/>
        <w:tblLayout w:type="fixed"/>
        <w:tblCellMar>
          <w:top w:w="0" w:type="dxa"/>
          <w:left w:w="108" w:type="dxa"/>
          <w:bottom w:w="0" w:type="dxa"/>
          <w:right w:w="108" w:type="dxa"/>
        </w:tblCellMar>
      </w:tblPr>
      <w:tblGrid>
        <w:gridCol w:w="1949"/>
        <w:gridCol w:w="988"/>
        <w:gridCol w:w="5256"/>
        <w:gridCol w:w="986"/>
      </w:tblGrid>
      <w:tr>
        <w:tblPrEx>
          <w:tblCellMar>
            <w:top w:w="0" w:type="dxa"/>
            <w:left w:w="108" w:type="dxa"/>
            <w:bottom w:w="0" w:type="dxa"/>
            <w:right w:w="108" w:type="dxa"/>
          </w:tblCellMar>
        </w:tblPrEx>
        <w:trPr>
          <w:trHeight w:val="567" w:hRule="atLeast"/>
          <w:jc w:val="center"/>
        </w:trPr>
        <w:tc>
          <w:tcPr>
            <w:tcW w:w="194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检查项目</w:t>
            </w:r>
          </w:p>
        </w:tc>
        <w:tc>
          <w:tcPr>
            <w:tcW w:w="988" w:type="dxa"/>
            <w:tcBorders>
              <w:top w:val="single" w:color="auto" w:sz="4" w:space="0"/>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标准分</w:t>
            </w:r>
          </w:p>
        </w:tc>
        <w:tc>
          <w:tcPr>
            <w:tcW w:w="5256" w:type="dxa"/>
            <w:tcBorders>
              <w:top w:val="single" w:color="auto" w:sz="4" w:space="0"/>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检查方法及评分标准</w:t>
            </w:r>
          </w:p>
        </w:tc>
        <w:tc>
          <w:tcPr>
            <w:tcW w:w="986" w:type="dxa"/>
            <w:tcBorders>
              <w:top w:val="single" w:color="auto" w:sz="4" w:space="0"/>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得分</w:t>
            </w:r>
          </w:p>
        </w:tc>
      </w:tr>
      <w:tr>
        <w:tblPrEx>
          <w:tblCellMar>
            <w:top w:w="0" w:type="dxa"/>
            <w:left w:w="108" w:type="dxa"/>
            <w:bottom w:w="0" w:type="dxa"/>
            <w:right w:w="108" w:type="dxa"/>
          </w:tblCellMar>
        </w:tblPrEx>
        <w:trPr>
          <w:trHeight w:val="567" w:hRule="atLeast"/>
          <w:jc w:val="center"/>
        </w:trPr>
        <w:tc>
          <w:tcPr>
            <w:tcW w:w="194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总分</w:t>
            </w:r>
          </w:p>
        </w:tc>
        <w:tc>
          <w:tcPr>
            <w:tcW w:w="988"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100</w:t>
            </w:r>
          </w:p>
        </w:tc>
        <w:tc>
          <w:tcPr>
            <w:tcW w:w="525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c>
          <w:tcPr>
            <w:tcW w:w="98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r>
      <w:tr>
        <w:tblPrEx>
          <w:tblCellMar>
            <w:top w:w="0" w:type="dxa"/>
            <w:left w:w="108" w:type="dxa"/>
            <w:bottom w:w="0" w:type="dxa"/>
            <w:right w:w="108" w:type="dxa"/>
          </w:tblCellMar>
        </w:tblPrEx>
        <w:trPr>
          <w:trHeight w:val="567" w:hRule="atLeast"/>
          <w:jc w:val="center"/>
        </w:trPr>
        <w:tc>
          <w:tcPr>
            <w:tcW w:w="194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作业面积</w:t>
            </w:r>
          </w:p>
        </w:tc>
        <w:tc>
          <w:tcPr>
            <w:tcW w:w="988"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10</w:t>
            </w:r>
          </w:p>
        </w:tc>
        <w:tc>
          <w:tcPr>
            <w:tcW w:w="525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left"/>
              <w:rPr>
                <w:rFonts w:ascii="仿宋_GB2312" w:cs="Times New Roman"/>
                <w:color w:val="000000"/>
                <w:kern w:val="0"/>
                <w:sz w:val="24"/>
                <w:szCs w:val="24"/>
              </w:rPr>
            </w:pPr>
            <w:r>
              <w:rPr>
                <w:rFonts w:hint="eastAsia" w:ascii="仿宋_GB2312" w:cs="Times New Roman"/>
                <w:color w:val="000000"/>
                <w:kern w:val="0"/>
                <w:sz w:val="24"/>
                <w:szCs w:val="24"/>
              </w:rPr>
              <w:t>面积核实率×10，误差在±5%之内得满分。</w:t>
            </w:r>
          </w:p>
        </w:tc>
        <w:tc>
          <w:tcPr>
            <w:tcW w:w="98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r>
      <w:tr>
        <w:tblPrEx>
          <w:tblCellMar>
            <w:top w:w="0" w:type="dxa"/>
            <w:left w:w="108" w:type="dxa"/>
            <w:bottom w:w="0" w:type="dxa"/>
            <w:right w:w="108" w:type="dxa"/>
          </w:tblCellMar>
        </w:tblPrEx>
        <w:trPr>
          <w:trHeight w:val="567" w:hRule="atLeast"/>
          <w:jc w:val="center"/>
        </w:trPr>
        <w:tc>
          <w:tcPr>
            <w:tcW w:w="194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抚育对象</w:t>
            </w:r>
          </w:p>
        </w:tc>
        <w:tc>
          <w:tcPr>
            <w:tcW w:w="988"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10</w:t>
            </w:r>
          </w:p>
        </w:tc>
        <w:tc>
          <w:tcPr>
            <w:tcW w:w="525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left"/>
              <w:rPr>
                <w:rFonts w:ascii="仿宋_GB2312" w:cs="Times New Roman"/>
                <w:color w:val="000000"/>
                <w:kern w:val="0"/>
                <w:sz w:val="24"/>
                <w:szCs w:val="24"/>
              </w:rPr>
            </w:pPr>
            <w:r>
              <w:rPr>
                <w:rFonts w:hint="eastAsia" w:ascii="仿宋_GB2312" w:cs="Times New Roman"/>
                <w:color w:val="000000"/>
                <w:kern w:val="0"/>
                <w:sz w:val="24"/>
                <w:szCs w:val="24"/>
              </w:rPr>
              <w:t>符合相关规定得满分，否则不得分。</w:t>
            </w:r>
          </w:p>
        </w:tc>
        <w:tc>
          <w:tcPr>
            <w:tcW w:w="98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r>
      <w:tr>
        <w:tblPrEx>
          <w:tblCellMar>
            <w:top w:w="0" w:type="dxa"/>
            <w:left w:w="108" w:type="dxa"/>
            <w:bottom w:w="0" w:type="dxa"/>
            <w:right w:w="108" w:type="dxa"/>
          </w:tblCellMar>
        </w:tblPrEx>
        <w:trPr>
          <w:trHeight w:val="567" w:hRule="atLeast"/>
          <w:jc w:val="center"/>
        </w:trPr>
        <w:tc>
          <w:tcPr>
            <w:tcW w:w="194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抚育方式</w:t>
            </w:r>
          </w:p>
        </w:tc>
        <w:tc>
          <w:tcPr>
            <w:tcW w:w="988"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10</w:t>
            </w:r>
          </w:p>
        </w:tc>
        <w:tc>
          <w:tcPr>
            <w:tcW w:w="525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left"/>
              <w:rPr>
                <w:rFonts w:ascii="仿宋_GB2312" w:cs="Times New Roman"/>
                <w:color w:val="000000"/>
                <w:kern w:val="0"/>
                <w:sz w:val="24"/>
                <w:szCs w:val="24"/>
              </w:rPr>
            </w:pPr>
            <w:r>
              <w:rPr>
                <w:rFonts w:hint="eastAsia" w:ascii="仿宋_GB2312" w:cs="Times New Roman"/>
                <w:color w:val="000000"/>
                <w:kern w:val="0"/>
                <w:sz w:val="24"/>
                <w:szCs w:val="24"/>
              </w:rPr>
              <w:t>符合作业设计且确定合理得满分，否则不得分。</w:t>
            </w:r>
          </w:p>
        </w:tc>
        <w:tc>
          <w:tcPr>
            <w:tcW w:w="98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r>
      <w:tr>
        <w:tblPrEx>
          <w:tblCellMar>
            <w:top w:w="0" w:type="dxa"/>
            <w:left w:w="108" w:type="dxa"/>
            <w:bottom w:w="0" w:type="dxa"/>
            <w:right w:w="108" w:type="dxa"/>
          </w:tblCellMar>
        </w:tblPrEx>
        <w:trPr>
          <w:trHeight w:val="567" w:hRule="atLeast"/>
          <w:jc w:val="center"/>
        </w:trPr>
        <w:tc>
          <w:tcPr>
            <w:tcW w:w="194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抚育强度</w:t>
            </w:r>
          </w:p>
        </w:tc>
        <w:tc>
          <w:tcPr>
            <w:tcW w:w="988"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10</w:t>
            </w:r>
          </w:p>
        </w:tc>
        <w:tc>
          <w:tcPr>
            <w:tcW w:w="525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left"/>
              <w:rPr>
                <w:rFonts w:ascii="仿宋_GB2312" w:cs="Times New Roman"/>
                <w:color w:val="000000"/>
                <w:kern w:val="0"/>
                <w:sz w:val="24"/>
                <w:szCs w:val="24"/>
              </w:rPr>
            </w:pPr>
            <w:r>
              <w:rPr>
                <w:rFonts w:hint="eastAsia" w:ascii="仿宋_GB2312" w:cs="Times New Roman"/>
                <w:color w:val="000000"/>
                <w:kern w:val="0"/>
                <w:sz w:val="24"/>
                <w:szCs w:val="24"/>
              </w:rPr>
              <w:t>误差在±5%之内得满分，每超过±1%扣1分。</w:t>
            </w:r>
          </w:p>
        </w:tc>
        <w:tc>
          <w:tcPr>
            <w:tcW w:w="98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r>
      <w:tr>
        <w:tblPrEx>
          <w:tblCellMar>
            <w:top w:w="0" w:type="dxa"/>
            <w:left w:w="108" w:type="dxa"/>
            <w:bottom w:w="0" w:type="dxa"/>
            <w:right w:w="108" w:type="dxa"/>
          </w:tblCellMar>
        </w:tblPrEx>
        <w:trPr>
          <w:trHeight w:val="567" w:hRule="atLeast"/>
          <w:jc w:val="center"/>
        </w:trPr>
        <w:tc>
          <w:tcPr>
            <w:tcW w:w="194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郁闭度</w:t>
            </w:r>
          </w:p>
        </w:tc>
        <w:tc>
          <w:tcPr>
            <w:tcW w:w="988"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10</w:t>
            </w:r>
          </w:p>
        </w:tc>
        <w:tc>
          <w:tcPr>
            <w:tcW w:w="525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left"/>
              <w:rPr>
                <w:rFonts w:ascii="仿宋_GB2312" w:cs="Times New Roman"/>
                <w:color w:val="000000"/>
                <w:kern w:val="0"/>
                <w:sz w:val="24"/>
                <w:szCs w:val="24"/>
              </w:rPr>
            </w:pPr>
            <w:r>
              <w:rPr>
                <w:rFonts w:hint="eastAsia" w:ascii="仿宋_GB2312" w:cs="Times New Roman"/>
                <w:color w:val="000000"/>
                <w:kern w:val="0"/>
                <w:sz w:val="24"/>
                <w:szCs w:val="24"/>
              </w:rPr>
              <w:t>符合调查设计要求得满分，否则不得分。</w:t>
            </w:r>
          </w:p>
        </w:tc>
        <w:tc>
          <w:tcPr>
            <w:tcW w:w="98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r>
      <w:tr>
        <w:tblPrEx>
          <w:tblCellMar>
            <w:top w:w="0" w:type="dxa"/>
            <w:left w:w="108" w:type="dxa"/>
            <w:bottom w:w="0" w:type="dxa"/>
            <w:right w:w="108" w:type="dxa"/>
          </w:tblCellMar>
        </w:tblPrEx>
        <w:trPr>
          <w:trHeight w:val="567" w:hRule="atLeast"/>
          <w:jc w:val="center"/>
        </w:trPr>
        <w:tc>
          <w:tcPr>
            <w:tcW w:w="194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树种组成</w:t>
            </w:r>
          </w:p>
        </w:tc>
        <w:tc>
          <w:tcPr>
            <w:tcW w:w="988"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15</w:t>
            </w:r>
          </w:p>
        </w:tc>
        <w:tc>
          <w:tcPr>
            <w:tcW w:w="525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left"/>
              <w:rPr>
                <w:rFonts w:ascii="仿宋_GB2312" w:cs="Times New Roman"/>
                <w:color w:val="000000"/>
                <w:kern w:val="0"/>
                <w:sz w:val="24"/>
                <w:szCs w:val="24"/>
              </w:rPr>
            </w:pPr>
            <w:r>
              <w:rPr>
                <w:rFonts w:hint="eastAsia" w:ascii="仿宋_GB2312" w:cs="Times New Roman"/>
                <w:color w:val="000000"/>
                <w:kern w:val="0"/>
                <w:sz w:val="24"/>
                <w:szCs w:val="24"/>
              </w:rPr>
              <w:t>符合作业设计得满分，否则不得分。</w:t>
            </w:r>
          </w:p>
        </w:tc>
        <w:tc>
          <w:tcPr>
            <w:tcW w:w="98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r>
      <w:tr>
        <w:tblPrEx>
          <w:tblCellMar>
            <w:top w:w="0" w:type="dxa"/>
            <w:left w:w="108" w:type="dxa"/>
            <w:bottom w:w="0" w:type="dxa"/>
            <w:right w:w="108" w:type="dxa"/>
          </w:tblCellMar>
        </w:tblPrEx>
        <w:trPr>
          <w:trHeight w:val="567" w:hRule="atLeast"/>
          <w:jc w:val="center"/>
        </w:trPr>
        <w:tc>
          <w:tcPr>
            <w:tcW w:w="194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伐后平均胸径</w:t>
            </w:r>
          </w:p>
        </w:tc>
        <w:tc>
          <w:tcPr>
            <w:tcW w:w="988"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15</w:t>
            </w:r>
          </w:p>
        </w:tc>
        <w:tc>
          <w:tcPr>
            <w:tcW w:w="525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left"/>
              <w:rPr>
                <w:rFonts w:ascii="仿宋_GB2312" w:cs="Times New Roman"/>
                <w:color w:val="000000"/>
                <w:kern w:val="0"/>
                <w:sz w:val="24"/>
                <w:szCs w:val="24"/>
              </w:rPr>
            </w:pPr>
            <w:r>
              <w:rPr>
                <w:rFonts w:hint="eastAsia" w:ascii="仿宋_GB2312" w:cs="Times New Roman"/>
                <w:color w:val="000000"/>
                <w:kern w:val="0"/>
                <w:sz w:val="24"/>
                <w:szCs w:val="24"/>
              </w:rPr>
              <w:t>允许误差5%，每超过1%扣1分。</w:t>
            </w:r>
          </w:p>
        </w:tc>
        <w:tc>
          <w:tcPr>
            <w:tcW w:w="98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r>
      <w:tr>
        <w:tblPrEx>
          <w:tblCellMar>
            <w:top w:w="0" w:type="dxa"/>
            <w:left w:w="108" w:type="dxa"/>
            <w:bottom w:w="0" w:type="dxa"/>
            <w:right w:w="108" w:type="dxa"/>
          </w:tblCellMar>
        </w:tblPrEx>
        <w:trPr>
          <w:trHeight w:val="567" w:hRule="atLeast"/>
          <w:jc w:val="center"/>
        </w:trPr>
        <w:tc>
          <w:tcPr>
            <w:tcW w:w="194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伐后株数</w:t>
            </w:r>
          </w:p>
        </w:tc>
        <w:tc>
          <w:tcPr>
            <w:tcW w:w="988"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10</w:t>
            </w:r>
          </w:p>
        </w:tc>
        <w:tc>
          <w:tcPr>
            <w:tcW w:w="525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left"/>
              <w:rPr>
                <w:rFonts w:ascii="仿宋_GB2312" w:cs="Times New Roman"/>
                <w:color w:val="000000"/>
                <w:kern w:val="0"/>
                <w:sz w:val="24"/>
                <w:szCs w:val="24"/>
              </w:rPr>
            </w:pPr>
            <w:r>
              <w:rPr>
                <w:rFonts w:hint="eastAsia" w:ascii="仿宋_GB2312" w:cs="Times New Roman"/>
                <w:color w:val="000000"/>
                <w:kern w:val="0"/>
                <w:sz w:val="24"/>
                <w:szCs w:val="24"/>
              </w:rPr>
              <w:t>允许误差10%；每超过2%扣1分。</w:t>
            </w:r>
          </w:p>
        </w:tc>
        <w:tc>
          <w:tcPr>
            <w:tcW w:w="98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r>
      <w:tr>
        <w:tblPrEx>
          <w:tblCellMar>
            <w:top w:w="0" w:type="dxa"/>
            <w:left w:w="108" w:type="dxa"/>
            <w:bottom w:w="0" w:type="dxa"/>
            <w:right w:w="108" w:type="dxa"/>
          </w:tblCellMar>
        </w:tblPrEx>
        <w:trPr>
          <w:trHeight w:val="567" w:hRule="atLeast"/>
          <w:jc w:val="center"/>
        </w:trPr>
        <w:tc>
          <w:tcPr>
            <w:tcW w:w="194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应采未采、错采</w:t>
            </w:r>
          </w:p>
        </w:tc>
        <w:tc>
          <w:tcPr>
            <w:tcW w:w="988"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10</w:t>
            </w:r>
          </w:p>
        </w:tc>
        <w:tc>
          <w:tcPr>
            <w:tcW w:w="525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left"/>
              <w:rPr>
                <w:rFonts w:ascii="仿宋_GB2312" w:cs="Times New Roman"/>
                <w:color w:val="000000"/>
                <w:kern w:val="0"/>
                <w:sz w:val="24"/>
                <w:szCs w:val="24"/>
              </w:rPr>
            </w:pPr>
            <w:r>
              <w:rPr>
                <w:rFonts w:hint="eastAsia" w:ascii="仿宋_GB2312" w:cs="Times New Roman"/>
                <w:color w:val="000000"/>
                <w:kern w:val="0"/>
                <w:sz w:val="24"/>
                <w:szCs w:val="24"/>
              </w:rPr>
              <w:t>应采未采、错采1处扣1分。</w:t>
            </w:r>
          </w:p>
        </w:tc>
        <w:tc>
          <w:tcPr>
            <w:tcW w:w="986"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auto"/>
              <w:ind w:firstLine="0" w:firstLineChars="0"/>
              <w:jc w:val="center"/>
              <w:rPr>
                <w:rFonts w:ascii="仿宋_GB2312" w:cs="Times New Roman"/>
                <w:color w:val="000000"/>
                <w:kern w:val="0"/>
                <w:sz w:val="24"/>
                <w:szCs w:val="24"/>
              </w:rPr>
            </w:pPr>
            <w:r>
              <w:rPr>
                <w:rFonts w:hint="eastAsia" w:ascii="仿宋_GB2312" w:cs="Times New Roman"/>
                <w:color w:val="000000"/>
                <w:kern w:val="0"/>
                <w:sz w:val="24"/>
                <w:szCs w:val="24"/>
              </w:rPr>
              <w:t>　</w:t>
            </w:r>
          </w:p>
        </w:tc>
      </w:tr>
    </w:tbl>
    <w:p>
      <w:pPr>
        <w:ind w:firstLine="640"/>
        <w:rPr>
          <w:rFonts w:cs="Times New Roman"/>
        </w:rPr>
        <w:sectPr>
          <w:footerReference r:id="rId12" w:type="default"/>
          <w:pgSz w:w="11906" w:h="16838"/>
          <w:pgMar w:top="1928" w:right="1304" w:bottom="1531" w:left="1531" w:header="851" w:footer="1474" w:gutter="0"/>
          <w:cols w:space="425" w:num="1"/>
          <w:docGrid w:type="lines" w:linePitch="312" w:charSpace="0"/>
        </w:sectPr>
      </w:pPr>
    </w:p>
    <w:p>
      <w:pPr>
        <w:pStyle w:val="2"/>
        <w:spacing w:before="0" w:after="0"/>
        <w:ind w:firstLine="0" w:firstLineChars="0"/>
        <w:rPr>
          <w:rFonts w:ascii="方正小标宋简体" w:eastAsia="方正小标宋简体" w:cs="Times New Roman"/>
          <w:b w:val="0"/>
          <w:sz w:val="44"/>
        </w:rPr>
      </w:pPr>
      <w:bookmarkStart w:id="4" w:name="_Toc80367064"/>
      <w:r>
        <w:rPr>
          <w:rFonts w:hint="eastAsia" w:ascii="方正小标宋简体" w:eastAsia="方正小标宋简体" w:cs="Times New Roman"/>
          <w:b w:val="0"/>
          <w:sz w:val="44"/>
        </w:rPr>
        <w:t>三、珍贵树种培育建设指导意见</w:t>
      </w:r>
      <w:bookmarkEnd w:id="4"/>
    </w:p>
    <w:p>
      <w:pPr>
        <w:spacing w:line="600" w:lineRule="exact"/>
        <w:ind w:firstLine="640"/>
        <w:rPr>
          <w:rFonts w:ascii="黑体" w:hAnsi="黑体" w:eastAsia="黑体" w:cs="Times New Roman"/>
          <w:bCs/>
          <w:color w:val="000000" w:themeColor="text1"/>
          <w:szCs w:val="32"/>
          <w14:textFill>
            <w14:solidFill>
              <w14:schemeClr w14:val="tx1"/>
            </w14:solidFill>
          </w14:textFill>
        </w:rPr>
      </w:pPr>
      <w:bookmarkStart w:id="5" w:name="_Toc72481239"/>
      <w:r>
        <w:rPr>
          <w:rFonts w:hint="eastAsia" w:ascii="黑体" w:hAnsi="黑体" w:eastAsia="黑体" w:cs="Times New Roman"/>
          <w:bCs/>
          <w:color w:val="000000" w:themeColor="text1"/>
          <w:szCs w:val="32"/>
          <w14:textFill>
            <w14:solidFill>
              <w14:schemeClr w14:val="tx1"/>
            </w14:solidFill>
          </w14:textFill>
        </w:rPr>
        <w:t>1范围</w:t>
      </w:r>
      <w:bookmarkEnd w:id="5"/>
    </w:p>
    <w:p>
      <w:pPr>
        <w:spacing w:line="600" w:lineRule="exact"/>
        <w:ind w:firstLine="640"/>
        <w:rPr>
          <w:rFonts w:ascii="仿宋_GB2312" w:cs="Times New Roman"/>
        </w:rPr>
      </w:pPr>
      <w:r>
        <w:rPr>
          <w:rFonts w:hint="eastAsia" w:ascii="仿宋_GB2312" w:cs="Times New Roman"/>
        </w:rPr>
        <w:t>本指导意见规定了珍贵树种的术语和定义、中幼林抚育、次生林改造、技术档案管理等内容。</w:t>
      </w:r>
    </w:p>
    <w:p>
      <w:pPr>
        <w:spacing w:line="600" w:lineRule="exact"/>
        <w:ind w:firstLine="640"/>
        <w:rPr>
          <w:rFonts w:ascii="仿宋_GB2312" w:cs="Times New Roman"/>
        </w:rPr>
      </w:pPr>
      <w:r>
        <w:rPr>
          <w:rFonts w:hint="eastAsia" w:ascii="仿宋_GB2312" w:cs="Times New Roman"/>
        </w:rPr>
        <w:t>本指导意见适用于浙江省珍贵树种的培育。</w:t>
      </w:r>
    </w:p>
    <w:p>
      <w:pPr>
        <w:spacing w:line="600" w:lineRule="exact"/>
        <w:ind w:firstLine="640"/>
        <w:rPr>
          <w:rFonts w:ascii="黑体" w:hAnsi="黑体" w:eastAsia="黑体" w:cs="Times New Roman"/>
          <w:bCs/>
          <w:color w:val="000000" w:themeColor="text1"/>
          <w:szCs w:val="32"/>
          <w14:textFill>
            <w14:solidFill>
              <w14:schemeClr w14:val="tx1"/>
            </w14:solidFill>
          </w14:textFill>
        </w:rPr>
      </w:pPr>
      <w:bookmarkStart w:id="6" w:name="_Toc72481240"/>
      <w:r>
        <w:rPr>
          <w:rFonts w:hint="eastAsia" w:ascii="黑体" w:hAnsi="黑体" w:eastAsia="黑体" w:cs="Times New Roman"/>
          <w:bCs/>
          <w:color w:val="000000" w:themeColor="text1"/>
          <w:szCs w:val="32"/>
          <w14:textFill>
            <w14:solidFill>
              <w14:schemeClr w14:val="tx1"/>
            </w14:solidFill>
          </w14:textFill>
        </w:rPr>
        <w:t>2规范性引用文件</w:t>
      </w:r>
      <w:bookmarkEnd w:id="6"/>
      <w:r>
        <w:rPr>
          <w:rFonts w:hint="eastAsia" w:ascii="黑体" w:hAnsi="黑体" w:eastAsia="黑体" w:cs="Times New Roman"/>
          <w:bCs/>
          <w:color w:val="000000" w:themeColor="text1"/>
          <w:szCs w:val="32"/>
          <w14:textFill>
            <w14:solidFill>
              <w14:schemeClr w14:val="tx1"/>
            </w14:solidFill>
          </w14:textFill>
        </w:rPr>
        <w:t xml:space="preserve"> </w:t>
      </w:r>
    </w:p>
    <w:p>
      <w:pPr>
        <w:spacing w:line="600" w:lineRule="exact"/>
        <w:ind w:firstLine="640"/>
        <w:rPr>
          <w:rFonts w:ascii="仿宋_GB2312" w:cs="Times New Roman"/>
        </w:rPr>
      </w:pPr>
      <w:r>
        <w:rPr>
          <w:rFonts w:hint="eastAsia" w:ascii="仿宋_GB2312" w:cs="Times New Roman"/>
        </w:rPr>
        <w:t>下列文件对于本文件的应用是必不可少的。凡是注日期的引用文件，仅所注日期的版本适用于本文件。凡是不注日期的引用文件，其最新版本（包括所有的修改单）适用于本文件。</w:t>
      </w:r>
    </w:p>
    <w:p>
      <w:pPr>
        <w:spacing w:line="600" w:lineRule="exact"/>
        <w:ind w:firstLine="640"/>
        <w:rPr>
          <w:rFonts w:ascii="仿宋_GB2312" w:cs="Times New Roman"/>
        </w:rPr>
      </w:pPr>
      <w:r>
        <w:rPr>
          <w:rFonts w:hint="eastAsia" w:ascii="仿宋_GB2312" w:cs="Times New Roman"/>
        </w:rPr>
        <w:t xml:space="preserve">GB/T 15781森林抚育规程 </w:t>
      </w:r>
    </w:p>
    <w:p>
      <w:pPr>
        <w:spacing w:line="600" w:lineRule="exact"/>
        <w:ind w:firstLine="640"/>
        <w:rPr>
          <w:rFonts w:ascii="仿宋_GB2312" w:cs="Times New Roman"/>
        </w:rPr>
      </w:pPr>
      <w:r>
        <w:rPr>
          <w:rFonts w:hint="eastAsia" w:ascii="仿宋_GB2312" w:cs="Times New Roman"/>
        </w:rPr>
        <w:t>DB33/177 主要造林树种苗木等级</w:t>
      </w:r>
    </w:p>
    <w:p>
      <w:pPr>
        <w:spacing w:line="600" w:lineRule="exact"/>
        <w:ind w:firstLine="640"/>
        <w:rPr>
          <w:rFonts w:ascii="仿宋_GB2312" w:cs="Times New Roman"/>
        </w:rPr>
      </w:pPr>
      <w:r>
        <w:rPr>
          <w:rFonts w:hint="eastAsia" w:ascii="仿宋_GB2312" w:cs="Times New Roman"/>
        </w:rPr>
        <w:t>DB33/T 2143-2018 森林抚育目标树选择和密度控制技术规程</w:t>
      </w:r>
    </w:p>
    <w:p>
      <w:pPr>
        <w:spacing w:line="600" w:lineRule="exact"/>
        <w:ind w:firstLine="640"/>
        <w:rPr>
          <w:rFonts w:ascii="黑体" w:hAnsi="黑体" w:eastAsia="黑体" w:cs="Times New Roman"/>
          <w:bCs/>
          <w:color w:val="000000" w:themeColor="text1"/>
          <w:szCs w:val="32"/>
          <w14:textFill>
            <w14:solidFill>
              <w14:schemeClr w14:val="tx1"/>
            </w14:solidFill>
          </w14:textFill>
        </w:rPr>
      </w:pPr>
      <w:bookmarkStart w:id="7" w:name="_Toc72481241"/>
      <w:r>
        <w:rPr>
          <w:rFonts w:hint="eastAsia" w:ascii="黑体" w:hAnsi="黑体" w:eastAsia="黑体" w:cs="Times New Roman"/>
          <w:bCs/>
          <w:color w:val="000000" w:themeColor="text1"/>
          <w:szCs w:val="32"/>
          <w14:textFill>
            <w14:solidFill>
              <w14:schemeClr w14:val="tx1"/>
            </w14:solidFill>
          </w14:textFill>
        </w:rPr>
        <w:t>3术语和定义</w:t>
      </w:r>
      <w:bookmarkEnd w:id="7"/>
      <w:r>
        <w:rPr>
          <w:rFonts w:hint="eastAsia" w:ascii="黑体" w:hAnsi="黑体" w:eastAsia="黑体" w:cs="Times New Roman"/>
          <w:bCs/>
          <w:color w:val="000000" w:themeColor="text1"/>
          <w:szCs w:val="32"/>
          <w14:textFill>
            <w14:solidFill>
              <w14:schemeClr w14:val="tx1"/>
            </w14:solidFill>
          </w14:textFill>
        </w:rPr>
        <w:t xml:space="preserve"> </w:t>
      </w:r>
    </w:p>
    <w:p>
      <w:pPr>
        <w:spacing w:line="600" w:lineRule="exact"/>
        <w:ind w:firstLine="640"/>
        <w:rPr>
          <w:rFonts w:ascii="仿宋_GB2312" w:cs="Times New Roman"/>
        </w:rPr>
      </w:pPr>
      <w:r>
        <w:rPr>
          <w:rFonts w:hint="eastAsia" w:ascii="仿宋_GB2312" w:cs="Times New Roman"/>
        </w:rPr>
        <w:t>下列术语和定义适用于本标准。</w:t>
      </w:r>
    </w:p>
    <w:p>
      <w:pPr>
        <w:spacing w:line="600" w:lineRule="exact"/>
        <w:ind w:firstLine="640"/>
        <w:rPr>
          <w:rFonts w:ascii="仿宋_GB2312" w:cs="Times New Roman"/>
        </w:rPr>
      </w:pPr>
      <w:r>
        <w:rPr>
          <w:rFonts w:hint="eastAsia" w:ascii="仿宋_GB2312" w:cs="Times New Roman"/>
          <w:szCs w:val="32"/>
        </w:rPr>
        <w:t>珍贵树种</w:t>
      </w:r>
      <w:r>
        <w:rPr>
          <w:rFonts w:hint="eastAsia" w:ascii="仿宋_GB2312" w:cs="Times New Roman"/>
        </w:rPr>
        <w:t>是指属于我国特产稀有树种以及目前虽有一定数量，但也逐渐减少的优良树种的统称，本指导意见中是指</w:t>
      </w:r>
      <w:r>
        <w:fldChar w:fldCharType="begin"/>
      </w:r>
      <w:r>
        <w:instrText xml:space="preserve"> HYPERLINK "http://www.so.com/s?q=%E6%9D%90%E8%B4%A8&amp;ie=utf-8&amp;src=internal_wenda_recommend_textn" \t "https://wenda.so.com/q/_blank" </w:instrText>
      </w:r>
      <w:r>
        <w:fldChar w:fldCharType="separate"/>
      </w:r>
      <w:r>
        <w:rPr>
          <w:rFonts w:hint="eastAsia" w:ascii="仿宋_GB2312" w:cs="Times New Roman"/>
        </w:rPr>
        <w:t>材质</w:t>
      </w:r>
      <w:r>
        <w:rPr>
          <w:rFonts w:hint="eastAsia" w:ascii="仿宋_GB2312" w:cs="Times New Roman"/>
        </w:rPr>
        <w:fldChar w:fldCharType="end"/>
      </w:r>
      <w:r>
        <w:rPr>
          <w:rFonts w:hint="eastAsia" w:ascii="仿宋_GB2312" w:cs="Times New Roman"/>
        </w:rPr>
        <w:t>优良、具有较高经济价值的</w:t>
      </w:r>
      <w:r>
        <w:fldChar w:fldCharType="begin"/>
      </w:r>
      <w:r>
        <w:instrText xml:space="preserve"> HYPERLINK "http://www.so.com/s?q=%E7%8F%8D%E8%B4%B5%E6%A0%91%E7%A7%8D&amp;ie=utf-8&amp;src=internal_wenda_recommend_textn" \t "https://wenda.so.com/q/_blank" </w:instrText>
      </w:r>
      <w:r>
        <w:fldChar w:fldCharType="separate"/>
      </w:r>
      <w:r>
        <w:rPr>
          <w:rFonts w:hint="eastAsia" w:ascii="仿宋_GB2312" w:cs="Times New Roman"/>
        </w:rPr>
        <w:t>珍贵树种</w:t>
      </w:r>
      <w:r>
        <w:rPr>
          <w:rFonts w:hint="eastAsia" w:ascii="仿宋_GB2312" w:cs="Times New Roman"/>
        </w:rPr>
        <w:fldChar w:fldCharType="end"/>
      </w:r>
      <w:r>
        <w:rPr>
          <w:rFonts w:hint="eastAsia" w:ascii="仿宋_GB2312" w:cs="Times New Roman"/>
        </w:rPr>
        <w:t>。</w:t>
      </w:r>
    </w:p>
    <w:p>
      <w:pPr>
        <w:spacing w:line="600" w:lineRule="exact"/>
        <w:ind w:firstLine="640"/>
        <w:rPr>
          <w:rFonts w:ascii="黑体" w:hAnsi="黑体" w:eastAsia="黑体" w:cs="Times New Roman"/>
          <w:bCs/>
          <w:color w:val="000000" w:themeColor="text1"/>
          <w:szCs w:val="32"/>
          <w14:textFill>
            <w14:solidFill>
              <w14:schemeClr w14:val="tx1"/>
            </w14:solidFill>
          </w14:textFill>
        </w:rPr>
      </w:pPr>
      <w:bookmarkStart w:id="8" w:name="_Toc72481242"/>
      <w:r>
        <w:rPr>
          <w:rFonts w:hint="eastAsia" w:ascii="黑体" w:hAnsi="黑体" w:eastAsia="黑体" w:cs="Times New Roman"/>
          <w:bCs/>
          <w:color w:val="000000" w:themeColor="text1"/>
          <w:szCs w:val="32"/>
          <w14:textFill>
            <w14:solidFill>
              <w14:schemeClr w14:val="tx1"/>
            </w14:solidFill>
          </w14:textFill>
        </w:rPr>
        <w:t>4培育对象</w:t>
      </w:r>
      <w:bookmarkEnd w:id="8"/>
    </w:p>
    <w:p>
      <w:pPr>
        <w:spacing w:line="600" w:lineRule="exact"/>
        <w:ind w:firstLine="640"/>
        <w:rPr>
          <w:rFonts w:ascii="仿宋_GB2312" w:cs="Times New Roman"/>
        </w:rPr>
      </w:pPr>
      <w:r>
        <w:rPr>
          <w:rFonts w:hint="eastAsia" w:ascii="仿宋_GB2312" w:cs="Times New Roman"/>
        </w:rPr>
        <w:t>（1）造林5年以上的珍贵树种人工林；</w:t>
      </w:r>
    </w:p>
    <w:p>
      <w:pPr>
        <w:spacing w:line="600" w:lineRule="exact"/>
        <w:ind w:firstLine="640"/>
        <w:rPr>
          <w:rFonts w:ascii="仿宋_GB2312" w:cs="Times New Roman"/>
        </w:rPr>
      </w:pPr>
      <w:r>
        <w:rPr>
          <w:rFonts w:hint="eastAsia" w:ascii="仿宋_GB2312" w:cs="Times New Roman"/>
        </w:rPr>
        <w:t>（2）有一定珍贵树种数量的次生阔叶林。</w:t>
      </w:r>
    </w:p>
    <w:p>
      <w:pPr>
        <w:ind w:firstLine="640"/>
        <w:rPr>
          <w:rFonts w:ascii="黑体" w:hAnsi="黑体" w:eastAsia="黑体" w:cs="Times New Roman"/>
          <w:bCs/>
          <w:color w:val="000000" w:themeColor="text1"/>
          <w:szCs w:val="32"/>
          <w14:textFill>
            <w14:solidFill>
              <w14:schemeClr w14:val="tx1"/>
            </w14:solidFill>
          </w14:textFill>
        </w:rPr>
      </w:pPr>
      <w:bookmarkStart w:id="9" w:name="_Toc72481243"/>
      <w:r>
        <w:rPr>
          <w:rFonts w:hint="eastAsia" w:ascii="黑体" w:hAnsi="黑体" w:eastAsia="黑体" w:cs="Times New Roman"/>
          <w:bCs/>
          <w:color w:val="000000" w:themeColor="text1"/>
          <w:szCs w:val="32"/>
          <w14:textFill>
            <w14:solidFill>
              <w14:schemeClr w14:val="tx1"/>
            </w14:solidFill>
          </w14:textFill>
        </w:rPr>
        <w:t>5培育措施</w:t>
      </w:r>
      <w:bookmarkEnd w:id="9"/>
    </w:p>
    <w:p>
      <w:pPr>
        <w:ind w:firstLine="640"/>
        <w:rPr>
          <w:rFonts w:ascii="楷体_GB2312" w:eastAsia="楷体_GB2312" w:cs="Times New Roman"/>
          <w:szCs w:val="32"/>
        </w:rPr>
      </w:pPr>
      <w:r>
        <w:rPr>
          <w:rFonts w:hint="eastAsia" w:ascii="楷体_GB2312" w:eastAsia="楷体_GB2312" w:cs="Times New Roman"/>
          <w:szCs w:val="32"/>
        </w:rPr>
        <w:t>5.1中幼林抚育</w:t>
      </w:r>
    </w:p>
    <w:p>
      <w:pPr>
        <w:ind w:firstLine="643"/>
        <w:rPr>
          <w:rFonts w:ascii="仿宋_GB2312" w:cs="Times New Roman"/>
          <w:b/>
          <w:szCs w:val="32"/>
        </w:rPr>
      </w:pPr>
      <w:r>
        <w:rPr>
          <w:rFonts w:hint="eastAsia" w:ascii="仿宋_GB2312" w:cs="Times New Roman"/>
          <w:b/>
          <w:szCs w:val="32"/>
        </w:rPr>
        <w:t>5.1.1抚育方式</w:t>
      </w:r>
    </w:p>
    <w:p>
      <w:pPr>
        <w:ind w:firstLine="640"/>
        <w:rPr>
          <w:rFonts w:ascii="仿宋_GB2312" w:cs="Times New Roman"/>
        </w:rPr>
      </w:pPr>
      <w:r>
        <w:rPr>
          <w:rFonts w:hint="eastAsia" w:ascii="仿宋_GB2312" w:cs="Times New Roman"/>
        </w:rPr>
        <w:t>抚育措施包括割灌除草、修枝、松土扩穴、施肥、间伐和综合抚育等。</w:t>
      </w:r>
    </w:p>
    <w:p>
      <w:pPr>
        <w:ind w:firstLine="640"/>
        <w:rPr>
          <w:rFonts w:ascii="仿宋_GB2312" w:cs="Times New Roman"/>
        </w:rPr>
      </w:pPr>
      <w:r>
        <w:rPr>
          <w:rFonts w:hint="eastAsia" w:ascii="仿宋_GB2312" w:cs="Times New Roman"/>
        </w:rPr>
        <w:t>参照森林抚育规程（GB/T 15781）执行。</w:t>
      </w:r>
    </w:p>
    <w:p>
      <w:pPr>
        <w:ind w:firstLine="643"/>
        <w:rPr>
          <w:rFonts w:ascii="仿宋_GB2312" w:cs="Times New Roman"/>
          <w:b/>
          <w:szCs w:val="32"/>
        </w:rPr>
      </w:pPr>
      <w:r>
        <w:rPr>
          <w:rFonts w:hint="eastAsia" w:ascii="仿宋_GB2312" w:cs="Times New Roman"/>
          <w:b/>
          <w:szCs w:val="32"/>
        </w:rPr>
        <w:t>5.1.2控制指标</w:t>
      </w:r>
    </w:p>
    <w:p>
      <w:pPr>
        <w:widowControl/>
        <w:numPr>
          <w:ilvl w:val="0"/>
          <w:numId w:val="4"/>
        </w:numPr>
        <w:ind w:firstLine="640"/>
        <w:rPr>
          <w:rFonts w:ascii="仿宋_GB2312" w:cs="Times New Roman"/>
          <w:color w:val="000000" w:themeColor="text1"/>
          <w:szCs w:val="32"/>
          <w14:textFill>
            <w14:solidFill>
              <w14:schemeClr w14:val="tx1"/>
            </w14:solidFill>
          </w14:textFill>
        </w:rPr>
      </w:pPr>
      <w:r>
        <w:rPr>
          <w:rFonts w:hint="eastAsia" w:ascii="仿宋_GB2312" w:cs="Times New Roman"/>
          <w:color w:val="000000" w:themeColor="text1"/>
          <w:szCs w:val="32"/>
          <w14:textFill>
            <w14:solidFill>
              <w14:schemeClr w14:val="tx1"/>
            </w14:solidFill>
          </w14:textFill>
        </w:rPr>
        <w:t>珍贵树种数量≥40株/亩；</w:t>
      </w:r>
    </w:p>
    <w:p>
      <w:pPr>
        <w:widowControl/>
        <w:numPr>
          <w:ilvl w:val="0"/>
          <w:numId w:val="4"/>
        </w:numPr>
        <w:ind w:firstLine="640"/>
        <w:rPr>
          <w:rFonts w:ascii="仿宋_GB2312" w:cs="Times New Roman"/>
          <w:color w:val="000000" w:themeColor="text1"/>
          <w:szCs w:val="32"/>
          <w14:textFill>
            <w14:solidFill>
              <w14:schemeClr w14:val="tx1"/>
            </w14:solidFill>
          </w14:textFill>
        </w:rPr>
      </w:pPr>
      <w:r>
        <w:rPr>
          <w:rFonts w:hint="eastAsia" w:ascii="仿宋_GB2312" w:cs="Times New Roman"/>
          <w:color w:val="000000" w:themeColor="text1"/>
          <w:szCs w:val="32"/>
          <w14:textFill>
            <w14:solidFill>
              <w14:schemeClr w14:val="tx1"/>
            </w14:solidFill>
          </w14:textFill>
        </w:rPr>
        <w:t>林内无明显影响珍贵树种生长的其它乔灌树种，灌草覆盖度≤50%；</w:t>
      </w:r>
    </w:p>
    <w:p>
      <w:pPr>
        <w:widowControl/>
        <w:numPr>
          <w:ilvl w:val="0"/>
          <w:numId w:val="4"/>
        </w:numPr>
        <w:ind w:firstLine="640"/>
        <w:rPr>
          <w:rFonts w:ascii="仿宋_GB2312" w:cs="Times New Roman"/>
          <w:color w:val="000000" w:themeColor="text1"/>
          <w:szCs w:val="32"/>
          <w14:textFill>
            <w14:solidFill>
              <w14:schemeClr w14:val="tx1"/>
            </w14:solidFill>
          </w14:textFill>
        </w:rPr>
      </w:pPr>
      <w:r>
        <w:rPr>
          <w:rFonts w:hint="eastAsia" w:ascii="仿宋_GB2312" w:cs="Times New Roman"/>
          <w:color w:val="000000" w:themeColor="text1"/>
          <w:szCs w:val="32"/>
          <w14:textFill>
            <w14:solidFill>
              <w14:schemeClr w14:val="tx1"/>
            </w14:solidFill>
          </w14:textFill>
        </w:rPr>
        <w:t>珍贵树种6米以下无多头或影响主干质量的粗大分枝，1级林木比例≥90%（表1）。</w:t>
      </w:r>
    </w:p>
    <w:p>
      <w:pPr>
        <w:snapToGrid w:val="0"/>
        <w:spacing w:after="156" w:afterLines="50" w:line="520" w:lineRule="exact"/>
        <w:ind w:firstLine="0" w:firstLineChars="0"/>
        <w:jc w:val="center"/>
        <w:rPr>
          <w:rFonts w:ascii="方正小标宋简体" w:eastAsia="方正小标宋简体" w:cs="Times New Roman"/>
          <w:bCs/>
          <w:sz w:val="28"/>
          <w:szCs w:val="28"/>
        </w:rPr>
      </w:pPr>
      <w:r>
        <w:rPr>
          <w:rFonts w:hint="eastAsia" w:ascii="方正小标宋简体" w:eastAsia="方正小标宋简体" w:cs="Times New Roman"/>
          <w:bCs/>
          <w:sz w:val="28"/>
          <w:szCs w:val="28"/>
        </w:rPr>
        <w:t>表1　单木等级划分标准表</w:t>
      </w:r>
    </w:p>
    <w:tbl>
      <w:tblPr>
        <w:tblStyle w:val="14"/>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1856"/>
        <w:gridCol w:w="1753"/>
        <w:gridCol w:w="1513"/>
        <w:gridCol w:w="1348"/>
        <w:gridCol w:w="1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blHeader/>
        </w:trPr>
        <w:tc>
          <w:tcPr>
            <w:tcW w:w="929" w:type="dxa"/>
            <w:tcMar>
              <w:top w:w="0" w:type="dxa"/>
              <w:left w:w="0" w:type="dxa"/>
              <w:bottom w:w="0" w:type="dxa"/>
              <w:right w:w="0" w:type="dxa"/>
            </w:tcMar>
          </w:tcPr>
          <w:p>
            <w:pPr>
              <w:snapToGrid w:val="0"/>
              <w:spacing w:line="400" w:lineRule="exact"/>
              <w:ind w:firstLine="0" w:firstLineChars="0"/>
              <w:jc w:val="center"/>
              <w:rPr>
                <w:rFonts w:ascii="仿宋_GB2312" w:hAnsi="Calibri" w:cs="Times New Roman"/>
                <w:b/>
                <w:kern w:val="0"/>
                <w:sz w:val="24"/>
                <w:szCs w:val="24"/>
              </w:rPr>
            </w:pPr>
            <w:r>
              <w:rPr>
                <w:rFonts w:hint="eastAsia" w:ascii="仿宋_GB2312" w:hAnsi="Calibri" w:cs="Times New Roman"/>
                <w:b/>
                <w:kern w:val="0"/>
                <w:sz w:val="24"/>
                <w:szCs w:val="24"/>
              </w:rPr>
              <w:t>指标</w:t>
            </w:r>
          </w:p>
          <w:p>
            <w:pPr>
              <w:snapToGrid w:val="0"/>
              <w:spacing w:line="400" w:lineRule="exact"/>
              <w:ind w:firstLine="0" w:firstLineChars="0"/>
              <w:jc w:val="center"/>
              <w:rPr>
                <w:rFonts w:ascii="仿宋_GB2312" w:hAnsi="Calibri" w:cs="Times New Roman"/>
                <w:b/>
                <w:kern w:val="0"/>
                <w:sz w:val="24"/>
                <w:szCs w:val="24"/>
              </w:rPr>
            </w:pPr>
            <w:r>
              <w:rPr>
                <w:rFonts w:hint="eastAsia" w:ascii="仿宋_GB2312" w:hAnsi="Calibri" w:cs="Times New Roman"/>
                <w:b/>
                <w:kern w:val="0"/>
                <w:sz w:val="24"/>
                <w:szCs w:val="24"/>
              </w:rPr>
              <w:t>等级</w:t>
            </w:r>
          </w:p>
        </w:tc>
        <w:tc>
          <w:tcPr>
            <w:tcW w:w="1856"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b/>
                <w:kern w:val="0"/>
                <w:sz w:val="24"/>
                <w:szCs w:val="24"/>
              </w:rPr>
            </w:pPr>
            <w:r>
              <w:rPr>
                <w:rFonts w:hint="eastAsia" w:ascii="仿宋_GB2312" w:hAnsi="Calibri" w:cs="Times New Roman"/>
                <w:b/>
                <w:kern w:val="0"/>
                <w:sz w:val="24"/>
                <w:szCs w:val="24"/>
              </w:rPr>
              <w:t>1</w:t>
            </w:r>
          </w:p>
        </w:tc>
        <w:tc>
          <w:tcPr>
            <w:tcW w:w="175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b/>
                <w:kern w:val="0"/>
                <w:sz w:val="24"/>
                <w:szCs w:val="24"/>
              </w:rPr>
            </w:pPr>
            <w:r>
              <w:rPr>
                <w:rFonts w:hint="eastAsia" w:ascii="仿宋_GB2312" w:hAnsi="Calibri" w:cs="Times New Roman"/>
                <w:b/>
                <w:kern w:val="0"/>
                <w:sz w:val="24"/>
                <w:szCs w:val="24"/>
              </w:rPr>
              <w:t>2</w:t>
            </w:r>
          </w:p>
        </w:tc>
        <w:tc>
          <w:tcPr>
            <w:tcW w:w="151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b/>
                <w:kern w:val="0"/>
                <w:sz w:val="24"/>
                <w:szCs w:val="24"/>
              </w:rPr>
            </w:pPr>
            <w:r>
              <w:rPr>
                <w:rFonts w:hint="eastAsia" w:ascii="仿宋_GB2312" w:hAnsi="Calibri" w:cs="Times New Roman"/>
                <w:b/>
                <w:kern w:val="0"/>
                <w:sz w:val="24"/>
                <w:szCs w:val="24"/>
              </w:rPr>
              <w:t>3</w:t>
            </w:r>
          </w:p>
        </w:tc>
        <w:tc>
          <w:tcPr>
            <w:tcW w:w="1348"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b/>
                <w:kern w:val="0"/>
                <w:sz w:val="24"/>
                <w:szCs w:val="24"/>
              </w:rPr>
            </w:pPr>
            <w:r>
              <w:rPr>
                <w:rFonts w:hint="eastAsia" w:ascii="仿宋_GB2312" w:hAnsi="Calibri" w:cs="Times New Roman"/>
                <w:b/>
                <w:kern w:val="0"/>
                <w:sz w:val="24"/>
                <w:szCs w:val="24"/>
              </w:rPr>
              <w:t>4</w:t>
            </w:r>
          </w:p>
        </w:tc>
        <w:tc>
          <w:tcPr>
            <w:tcW w:w="1682"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b/>
                <w:kern w:val="0"/>
                <w:sz w:val="24"/>
                <w:szCs w:val="24"/>
              </w:rPr>
            </w:pPr>
            <w:r>
              <w:rPr>
                <w:rFonts w:hint="eastAsia" w:ascii="仿宋_GB2312" w:hAnsi="Calibri" w:cs="Times New Roman"/>
                <w:b/>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29"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生活力</w:t>
            </w:r>
          </w:p>
        </w:tc>
        <w:tc>
          <w:tcPr>
            <w:tcW w:w="1856"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有竞争活力的</w:t>
            </w:r>
          </w:p>
        </w:tc>
        <w:tc>
          <w:tcPr>
            <w:tcW w:w="175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有活力的</w:t>
            </w:r>
          </w:p>
        </w:tc>
        <w:tc>
          <w:tcPr>
            <w:tcW w:w="151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存活的</w:t>
            </w:r>
          </w:p>
        </w:tc>
        <w:tc>
          <w:tcPr>
            <w:tcW w:w="1348"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濒死的</w:t>
            </w:r>
          </w:p>
        </w:tc>
        <w:tc>
          <w:tcPr>
            <w:tcW w:w="1682"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濒死的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29"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主干</w:t>
            </w:r>
          </w:p>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质量</w:t>
            </w:r>
          </w:p>
        </w:tc>
        <w:tc>
          <w:tcPr>
            <w:tcW w:w="1856"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优势层</w:t>
            </w:r>
          </w:p>
        </w:tc>
        <w:tc>
          <w:tcPr>
            <w:tcW w:w="175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亚优势层</w:t>
            </w:r>
          </w:p>
        </w:tc>
        <w:tc>
          <w:tcPr>
            <w:tcW w:w="151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中间层</w:t>
            </w:r>
          </w:p>
        </w:tc>
        <w:tc>
          <w:tcPr>
            <w:tcW w:w="1348"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被压层</w:t>
            </w:r>
          </w:p>
        </w:tc>
        <w:tc>
          <w:tcPr>
            <w:tcW w:w="1682"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林下层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29"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分枝型</w:t>
            </w:r>
          </w:p>
        </w:tc>
        <w:tc>
          <w:tcPr>
            <w:tcW w:w="1856"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通直完满</w:t>
            </w:r>
          </w:p>
        </w:tc>
        <w:tc>
          <w:tcPr>
            <w:tcW w:w="175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局部轻度弯曲</w:t>
            </w:r>
          </w:p>
        </w:tc>
        <w:tc>
          <w:tcPr>
            <w:tcW w:w="151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多分枝</w:t>
            </w:r>
          </w:p>
        </w:tc>
        <w:tc>
          <w:tcPr>
            <w:tcW w:w="1348"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二分枝</w:t>
            </w:r>
          </w:p>
        </w:tc>
        <w:tc>
          <w:tcPr>
            <w:tcW w:w="1682"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显著弯曲或扭曲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29"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主干损伤情况</w:t>
            </w:r>
          </w:p>
        </w:tc>
        <w:tc>
          <w:tcPr>
            <w:tcW w:w="1856"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无损伤</w:t>
            </w:r>
          </w:p>
        </w:tc>
        <w:tc>
          <w:tcPr>
            <w:tcW w:w="175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轻度损伤，但根部无损伤</w:t>
            </w:r>
          </w:p>
        </w:tc>
        <w:tc>
          <w:tcPr>
            <w:tcW w:w="151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中度损伤，但根部无损伤</w:t>
            </w:r>
          </w:p>
        </w:tc>
        <w:tc>
          <w:tcPr>
            <w:tcW w:w="1348"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中度损伤</w:t>
            </w:r>
          </w:p>
        </w:tc>
        <w:tc>
          <w:tcPr>
            <w:tcW w:w="1682"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重度损伤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29"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树冠</w:t>
            </w:r>
          </w:p>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形状</w:t>
            </w:r>
          </w:p>
        </w:tc>
        <w:tc>
          <w:tcPr>
            <w:tcW w:w="1856"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树冠均匀饱满且冠高比0.3~0.5</w:t>
            </w:r>
          </w:p>
        </w:tc>
        <w:tc>
          <w:tcPr>
            <w:tcW w:w="175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树冠均匀但冠高比&lt;0.3</w:t>
            </w:r>
          </w:p>
        </w:tc>
        <w:tc>
          <w:tcPr>
            <w:tcW w:w="1513"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偏冠但冠高比≥  0.3~0.5</w:t>
            </w:r>
          </w:p>
        </w:tc>
        <w:tc>
          <w:tcPr>
            <w:tcW w:w="1348"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偏冠、冠高比&lt;0.3</w:t>
            </w:r>
          </w:p>
        </w:tc>
        <w:tc>
          <w:tcPr>
            <w:tcW w:w="1682" w:type="dxa"/>
            <w:tcMar>
              <w:top w:w="0" w:type="dxa"/>
              <w:left w:w="0" w:type="dxa"/>
              <w:bottom w:w="0" w:type="dxa"/>
              <w:right w:w="0" w:type="dxa"/>
            </w:tcMar>
            <w:vAlign w:val="center"/>
          </w:tcPr>
          <w:p>
            <w:pPr>
              <w:snapToGrid w:val="0"/>
              <w:spacing w:line="4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严重偏冠或弱冠</w:t>
            </w:r>
          </w:p>
        </w:tc>
      </w:tr>
    </w:tbl>
    <w:p>
      <w:pPr>
        <w:snapToGrid w:val="0"/>
        <w:spacing w:line="400" w:lineRule="exact"/>
        <w:ind w:firstLine="210" w:firstLineChars="100"/>
        <w:rPr>
          <w:rFonts w:cs="Times New Roman"/>
          <w:sz w:val="21"/>
          <w:szCs w:val="21"/>
        </w:rPr>
      </w:pPr>
      <w:r>
        <w:rPr>
          <w:rFonts w:hint="eastAsia" w:cs="Times New Roman"/>
          <w:sz w:val="21"/>
          <w:szCs w:val="21"/>
        </w:rPr>
        <w:t>注：冠高比指树冠长（非树冠冠幅）与树高的比值。</w:t>
      </w:r>
      <w:r>
        <w:rPr>
          <w:rFonts w:cs="Times New Roman"/>
          <w:sz w:val="21"/>
          <w:szCs w:val="21"/>
        </w:rPr>
        <w:t xml:space="preserve"> </w:t>
      </w:r>
    </w:p>
    <w:p>
      <w:pPr>
        <w:ind w:firstLine="640"/>
        <w:rPr>
          <w:rFonts w:ascii="楷体_GB2312" w:eastAsia="楷体_GB2312" w:cs="Times New Roman"/>
          <w:szCs w:val="32"/>
        </w:rPr>
      </w:pPr>
      <w:r>
        <w:rPr>
          <w:rFonts w:hint="eastAsia" w:ascii="楷体_GB2312" w:eastAsia="楷体_GB2312" w:cs="Times New Roman"/>
          <w:szCs w:val="32"/>
        </w:rPr>
        <w:t>5.2次生林改造</w:t>
      </w:r>
    </w:p>
    <w:p>
      <w:pPr>
        <w:ind w:firstLine="643"/>
        <w:rPr>
          <w:rFonts w:ascii="仿宋_GB2312" w:cs="Times New Roman"/>
          <w:b/>
          <w:szCs w:val="32"/>
        </w:rPr>
      </w:pPr>
      <w:r>
        <w:rPr>
          <w:rFonts w:hint="eastAsia" w:ascii="仿宋_GB2312" w:cs="Times New Roman"/>
          <w:b/>
          <w:szCs w:val="32"/>
        </w:rPr>
        <w:t>5.2.1改造方式</w:t>
      </w:r>
    </w:p>
    <w:p>
      <w:pPr>
        <w:ind w:firstLine="640"/>
        <w:rPr>
          <w:rFonts w:ascii="仿宋_GB2312" w:cs="Times New Roman"/>
        </w:rPr>
      </w:pPr>
      <w:r>
        <w:rPr>
          <w:rFonts w:hint="eastAsia" w:ascii="仿宋_GB2312" w:cs="Times New Roman"/>
        </w:rPr>
        <w:t>（1）幼龄林郁闭度</w:t>
      </w:r>
      <w:r>
        <w:rPr>
          <w:rFonts w:hint="eastAsia" w:ascii="仿宋_GB2312" w:hAnsi="仿宋_GB2312" w:cs="Times New Roman"/>
        </w:rPr>
        <w:t>&gt;</w:t>
      </w:r>
      <w:r>
        <w:rPr>
          <w:rFonts w:hint="eastAsia" w:ascii="仿宋_GB2312" w:cs="Times New Roman"/>
        </w:rPr>
        <w:t>0.8，平均胸径</w:t>
      </w:r>
      <w:r>
        <w:rPr>
          <w:rFonts w:hint="eastAsia" w:ascii="仿宋_GB2312" w:hAnsi="仿宋_GB2312" w:cs="Times New Roman"/>
        </w:rPr>
        <w:t>&lt;</w:t>
      </w:r>
      <w:r>
        <w:rPr>
          <w:rFonts w:hint="eastAsia" w:ascii="仿宋_GB2312" w:cs="Times New Roman"/>
        </w:rPr>
        <w:t>6厘米的林分，林木生长旺盛、竞争激烈，显现分化时要进行透光抚育，林中空地要进行大苗补植。</w:t>
      </w:r>
    </w:p>
    <w:p>
      <w:pPr>
        <w:ind w:firstLine="640"/>
        <w:rPr>
          <w:rFonts w:ascii="仿宋_GB2312" w:cs="Times New Roman"/>
        </w:rPr>
      </w:pPr>
      <w:r>
        <w:rPr>
          <w:rFonts w:hint="eastAsia" w:ascii="仿宋_GB2312" w:cs="Times New Roman"/>
        </w:rPr>
        <w:t>（2）中龄林郁闭度</w:t>
      </w:r>
      <w:r>
        <w:rPr>
          <w:rFonts w:hint="eastAsia" w:ascii="仿宋_GB2312" w:hAnsi="仿宋_GB2312" w:cs="Times New Roman"/>
        </w:rPr>
        <w:t>&gt;</w:t>
      </w:r>
      <w:r>
        <w:rPr>
          <w:rFonts w:hint="eastAsia" w:ascii="仿宋_GB2312" w:cs="Times New Roman"/>
        </w:rPr>
        <w:t>0.7以上的林分要进行生长抚育。下层幼苗、幼树更新良好、上层林分郁闭度</w:t>
      </w:r>
      <w:r>
        <w:rPr>
          <w:rFonts w:hint="eastAsia" w:ascii="仿宋_GB2312" w:hAnsi="仿宋_GB2312" w:cs="Times New Roman"/>
        </w:rPr>
        <w:t>&gt;</w:t>
      </w:r>
      <w:r>
        <w:rPr>
          <w:rFonts w:hint="eastAsia" w:ascii="仿宋_GB2312" w:cs="Times New Roman"/>
        </w:rPr>
        <w:t>0.6，明显阻碍下层幼苗、幼树受光和生长的林分，分别进行透光和生长抚育，采劣留优、均匀保留目的树种。</w:t>
      </w:r>
    </w:p>
    <w:p>
      <w:pPr>
        <w:ind w:firstLine="643"/>
        <w:rPr>
          <w:rFonts w:ascii="仿宋_GB2312" w:cs="Times New Roman"/>
          <w:b/>
          <w:szCs w:val="32"/>
        </w:rPr>
      </w:pPr>
      <w:bookmarkStart w:id="10" w:name="_Toc72481244"/>
      <w:r>
        <w:rPr>
          <w:rFonts w:hint="eastAsia" w:ascii="仿宋_GB2312" w:cs="Times New Roman"/>
          <w:b/>
          <w:szCs w:val="32"/>
        </w:rPr>
        <w:t>5.2.2目的树种选择</w:t>
      </w:r>
      <w:bookmarkEnd w:id="10"/>
    </w:p>
    <w:p>
      <w:pPr>
        <w:ind w:firstLine="640"/>
        <w:rPr>
          <w:rFonts w:ascii="仿宋_GB2312" w:cs="Times New Roman"/>
        </w:rPr>
      </w:pPr>
      <w:r>
        <w:rPr>
          <w:rFonts w:hint="eastAsia" w:ascii="仿宋_GB2312" w:cs="Times New Roman"/>
        </w:rPr>
        <w:t>红豆树、花榈木、青冈、赤皮青冈、细叶青冈、闽楠、浙江楠、紫楠、桢楠、浙江樟、香樟、沉水樟、普陀樟、红楠、华东楠、黑壳楠、刨花楠、天目木姜子、甜槠、苦槠、深山含笑、乐昌含笑、乐东拟单性木兰、乳源木莲、木荷、细柄阿丁枫、虎皮楠、大叶冬青、小果冬青、榉树、檫木、黄檀等。</w:t>
      </w:r>
    </w:p>
    <w:p>
      <w:pPr>
        <w:ind w:firstLine="643"/>
        <w:rPr>
          <w:rFonts w:ascii="仿宋_GB2312" w:cs="Times New Roman"/>
          <w:b/>
          <w:szCs w:val="32"/>
        </w:rPr>
      </w:pPr>
      <w:bookmarkStart w:id="11" w:name="_Toc72481245"/>
      <w:r>
        <w:rPr>
          <w:rFonts w:hint="eastAsia" w:ascii="仿宋_GB2312" w:cs="Times New Roman"/>
          <w:b/>
          <w:szCs w:val="32"/>
        </w:rPr>
        <w:t>5.2.3技术措施</w:t>
      </w:r>
      <w:bookmarkEnd w:id="11"/>
    </w:p>
    <w:p>
      <w:pPr>
        <w:ind w:firstLine="640"/>
        <w:rPr>
          <w:rFonts w:ascii="仿宋_GB2312" w:cs="Times New Roman"/>
        </w:rPr>
      </w:pPr>
      <w:r>
        <w:rPr>
          <w:rFonts w:hint="eastAsia" w:ascii="仿宋_GB2312" w:cs="Times New Roman"/>
        </w:rPr>
        <w:t>参照《森林抚育目标树选择和密度控制技术规程（DB33/T 2143-2018）》执行。</w:t>
      </w:r>
    </w:p>
    <w:p>
      <w:pPr>
        <w:ind w:firstLine="643"/>
        <w:rPr>
          <w:rFonts w:ascii="仿宋_GB2312" w:cs="Times New Roman"/>
          <w:b/>
          <w:szCs w:val="32"/>
        </w:rPr>
      </w:pPr>
      <w:bookmarkStart w:id="12" w:name="_Toc72481246"/>
      <w:r>
        <w:rPr>
          <w:rFonts w:hint="eastAsia" w:ascii="仿宋_GB2312" w:cs="Times New Roman"/>
          <w:b/>
          <w:szCs w:val="32"/>
        </w:rPr>
        <w:t>5.2.4控制指标</w:t>
      </w:r>
      <w:bookmarkEnd w:id="12"/>
    </w:p>
    <w:p>
      <w:pPr>
        <w:ind w:firstLine="640"/>
        <w:rPr>
          <w:rFonts w:ascii="仿宋_GB2312" w:cs="Times New Roman"/>
        </w:rPr>
      </w:pPr>
      <w:r>
        <w:rPr>
          <w:rFonts w:hint="eastAsia" w:ascii="仿宋_GB2312" w:cs="Times New Roman"/>
        </w:rPr>
        <w:t>采用目标树单株择伐作业法，各个发育阶段的控制指标和作业措施，按表2执行。</w:t>
      </w:r>
      <w:bookmarkStart w:id="13" w:name="_Hlk536170305"/>
    </w:p>
    <w:p>
      <w:pPr>
        <w:ind w:firstLine="640"/>
        <w:rPr>
          <w:rFonts w:cs="Times New Roman"/>
        </w:rPr>
      </w:pPr>
    </w:p>
    <w:p>
      <w:pPr>
        <w:spacing w:after="156" w:afterLines="50" w:line="520" w:lineRule="exact"/>
        <w:ind w:firstLine="0" w:firstLineChars="0"/>
        <w:jc w:val="center"/>
        <w:rPr>
          <w:rFonts w:ascii="方正小标宋简体" w:eastAsia="方正小标宋简体" w:cs="Times New Roman"/>
          <w:sz w:val="28"/>
          <w:szCs w:val="28"/>
        </w:rPr>
      </w:pPr>
      <w:r>
        <w:rPr>
          <w:rFonts w:hint="eastAsia" w:ascii="方正小标宋简体" w:eastAsia="方正小标宋简体" w:cs="Times New Roman"/>
          <w:sz w:val="28"/>
          <w:szCs w:val="28"/>
        </w:rPr>
        <w:t>表2阔叶林珍贵化近自然改培作业措施和控制指标</w:t>
      </w:r>
    </w:p>
    <w:bookmarkEnd w:id="13"/>
    <w:tbl>
      <w:tblPr>
        <w:tblStyle w:val="13"/>
        <w:tblW w:w="9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3"/>
        <w:gridCol w:w="1133"/>
        <w:gridCol w:w="932"/>
        <w:gridCol w:w="6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Header/>
          <w:jc w:val="center"/>
        </w:trPr>
        <w:tc>
          <w:tcPr>
            <w:tcW w:w="723" w:type="dxa"/>
            <w:vAlign w:val="center"/>
          </w:tcPr>
          <w:p>
            <w:pPr>
              <w:adjustRightInd w:val="0"/>
              <w:snapToGrid w:val="0"/>
              <w:spacing w:line="330" w:lineRule="exact"/>
              <w:ind w:firstLine="0" w:firstLineChars="0"/>
              <w:jc w:val="center"/>
              <w:rPr>
                <w:rFonts w:ascii="仿宋_GB2312" w:cs="Times New Roman"/>
                <w:b/>
                <w:bCs/>
                <w:kern w:val="0"/>
                <w:sz w:val="24"/>
                <w:szCs w:val="24"/>
              </w:rPr>
            </w:pPr>
            <w:r>
              <w:rPr>
                <w:rFonts w:hint="eastAsia" w:ascii="仿宋_GB2312" w:cs="Times New Roman"/>
                <w:b/>
                <w:bCs/>
                <w:kern w:val="0"/>
                <w:sz w:val="24"/>
                <w:szCs w:val="24"/>
              </w:rPr>
              <w:t>发展阶段</w:t>
            </w:r>
          </w:p>
        </w:tc>
        <w:tc>
          <w:tcPr>
            <w:tcW w:w="1133" w:type="dxa"/>
            <w:vAlign w:val="center"/>
          </w:tcPr>
          <w:p>
            <w:pPr>
              <w:adjustRightInd w:val="0"/>
              <w:snapToGrid w:val="0"/>
              <w:spacing w:line="330" w:lineRule="exact"/>
              <w:ind w:firstLine="0" w:firstLineChars="0"/>
              <w:jc w:val="center"/>
              <w:rPr>
                <w:rFonts w:ascii="仿宋_GB2312" w:cs="Times New Roman"/>
                <w:b/>
                <w:bCs/>
                <w:kern w:val="0"/>
                <w:sz w:val="24"/>
                <w:szCs w:val="24"/>
              </w:rPr>
            </w:pPr>
            <w:r>
              <w:rPr>
                <w:rFonts w:hint="eastAsia" w:ascii="仿宋_GB2312" w:cs="Times New Roman"/>
                <w:b/>
                <w:bCs/>
                <w:kern w:val="0"/>
                <w:sz w:val="24"/>
                <w:szCs w:val="24"/>
              </w:rPr>
              <w:t>林分特征</w:t>
            </w:r>
          </w:p>
        </w:tc>
        <w:tc>
          <w:tcPr>
            <w:tcW w:w="932" w:type="dxa"/>
            <w:vAlign w:val="center"/>
          </w:tcPr>
          <w:p>
            <w:pPr>
              <w:adjustRightInd w:val="0"/>
              <w:snapToGrid w:val="0"/>
              <w:spacing w:line="330" w:lineRule="exact"/>
              <w:ind w:firstLine="0" w:firstLineChars="0"/>
              <w:jc w:val="center"/>
              <w:rPr>
                <w:rFonts w:ascii="仿宋_GB2312" w:cs="Times New Roman"/>
                <w:b/>
                <w:bCs/>
                <w:kern w:val="0"/>
                <w:sz w:val="24"/>
                <w:szCs w:val="24"/>
              </w:rPr>
            </w:pPr>
            <w:r>
              <w:rPr>
                <w:rFonts w:hint="eastAsia" w:ascii="仿宋_GB2312" w:cs="Times New Roman"/>
                <w:b/>
                <w:bCs/>
                <w:kern w:val="0"/>
                <w:sz w:val="24"/>
                <w:szCs w:val="24"/>
              </w:rPr>
              <w:t>优势高范围</w:t>
            </w:r>
          </w:p>
        </w:tc>
        <w:tc>
          <w:tcPr>
            <w:tcW w:w="6293" w:type="dxa"/>
            <w:vAlign w:val="center"/>
          </w:tcPr>
          <w:p>
            <w:pPr>
              <w:adjustRightInd w:val="0"/>
              <w:snapToGrid w:val="0"/>
              <w:spacing w:line="330" w:lineRule="exact"/>
              <w:ind w:firstLine="0" w:firstLineChars="0"/>
              <w:jc w:val="center"/>
              <w:rPr>
                <w:rFonts w:ascii="仿宋_GB2312" w:cs="Times New Roman"/>
                <w:b/>
                <w:bCs/>
                <w:kern w:val="0"/>
                <w:sz w:val="24"/>
                <w:szCs w:val="24"/>
              </w:rPr>
            </w:pPr>
            <w:r>
              <w:rPr>
                <w:rFonts w:hint="eastAsia" w:ascii="仿宋_GB2312" w:cs="Times New Roman"/>
                <w:b/>
                <w:sz w:val="24"/>
                <w:szCs w:val="24"/>
              </w:rPr>
              <w:t>作业措施和控制指标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3" w:type="dxa"/>
            <w:vMerge w:val="restart"/>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cs="Times New Roman"/>
                <w:kern w:val="0"/>
                <w:sz w:val="24"/>
                <w:szCs w:val="24"/>
              </w:rPr>
              <w:t>1</w:t>
            </w:r>
          </w:p>
        </w:tc>
        <w:tc>
          <w:tcPr>
            <w:tcW w:w="1133" w:type="dxa"/>
            <w:vMerge w:val="restart"/>
            <w:vAlign w:val="center"/>
          </w:tcPr>
          <w:p>
            <w:pPr>
              <w:adjustRightInd w:val="0"/>
              <w:snapToGrid w:val="0"/>
              <w:spacing w:line="330" w:lineRule="exact"/>
              <w:ind w:firstLine="0" w:firstLineChars="0"/>
              <w:rPr>
                <w:rFonts w:ascii="仿宋_GB2312" w:cs="Times New Roman"/>
                <w:kern w:val="0"/>
                <w:sz w:val="24"/>
                <w:szCs w:val="24"/>
              </w:rPr>
            </w:pPr>
            <w:r>
              <w:rPr>
                <w:rFonts w:hint="eastAsia" w:ascii="仿宋_GB2312" w:cs="Times New Roman"/>
                <w:kern w:val="0"/>
                <w:sz w:val="24"/>
                <w:szCs w:val="24"/>
              </w:rPr>
              <w:t>幼林形成或林分建群阶段</w:t>
            </w:r>
          </w:p>
        </w:tc>
        <w:tc>
          <w:tcPr>
            <w:tcW w:w="932" w:type="dxa"/>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hAnsi="仿宋_GB2312" w:cs="Times New Roman"/>
                <w:kern w:val="0"/>
                <w:sz w:val="24"/>
                <w:szCs w:val="24"/>
              </w:rPr>
              <w:t>&lt;</w:t>
            </w:r>
            <w:r>
              <w:rPr>
                <w:rFonts w:hint="eastAsia" w:ascii="仿宋_GB2312" w:cs="Times New Roman"/>
                <w:kern w:val="0"/>
                <w:sz w:val="24"/>
                <w:szCs w:val="24"/>
              </w:rPr>
              <w:t>2.5m</w:t>
            </w:r>
          </w:p>
        </w:tc>
        <w:tc>
          <w:tcPr>
            <w:tcW w:w="6293" w:type="dxa"/>
            <w:vAlign w:val="center"/>
          </w:tcPr>
          <w:p>
            <w:pPr>
              <w:adjustRightInd w:val="0"/>
              <w:snapToGrid w:val="0"/>
              <w:spacing w:line="330" w:lineRule="exact"/>
              <w:ind w:firstLine="0" w:firstLineChars="0"/>
              <w:rPr>
                <w:rFonts w:ascii="仿宋_GB2312" w:cs="Times New Roman"/>
                <w:kern w:val="0"/>
                <w:sz w:val="24"/>
                <w:szCs w:val="24"/>
              </w:rPr>
            </w:pPr>
            <w:r>
              <w:rPr>
                <w:rFonts w:hint="eastAsia" w:ascii="仿宋_GB2312" w:cs="Times New Roman"/>
                <w:kern w:val="0"/>
                <w:sz w:val="24"/>
                <w:szCs w:val="24"/>
              </w:rPr>
              <w:t>造林/幼林形成阶段，避免人畜干扰和</w:t>
            </w:r>
            <w:bookmarkStart w:id="43" w:name="_GoBack"/>
            <w:bookmarkEnd w:id="43"/>
            <w:r>
              <w:rPr>
                <w:rFonts w:hint="eastAsia" w:ascii="仿宋_GB2312" w:cs="Times New Roman"/>
                <w:kern w:val="0"/>
                <w:sz w:val="24"/>
                <w:szCs w:val="24"/>
                <w:lang w:eastAsia="zh-CN"/>
              </w:rPr>
              <w:t>破坏</w:t>
            </w:r>
            <w:r>
              <w:rPr>
                <w:rFonts w:hint="eastAsia" w:ascii="仿宋_GB2312" w:cs="Times New Roman"/>
                <w:kern w:val="0"/>
                <w:sz w:val="24"/>
                <w:szCs w:val="24"/>
              </w:rPr>
              <w:t>，一般情况下不作任何抚育采伐而是执行造林地保护措施。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3" w:type="dxa"/>
            <w:vMerge w:val="continue"/>
            <w:vAlign w:val="center"/>
          </w:tcPr>
          <w:p>
            <w:pPr>
              <w:adjustRightInd w:val="0"/>
              <w:snapToGrid w:val="0"/>
              <w:spacing w:line="330" w:lineRule="exact"/>
              <w:ind w:firstLine="0" w:firstLineChars="0"/>
              <w:jc w:val="center"/>
              <w:rPr>
                <w:rFonts w:ascii="仿宋_GB2312" w:cs="Times New Roman"/>
                <w:kern w:val="0"/>
                <w:sz w:val="24"/>
                <w:szCs w:val="24"/>
              </w:rPr>
            </w:pPr>
          </w:p>
        </w:tc>
        <w:tc>
          <w:tcPr>
            <w:tcW w:w="1133" w:type="dxa"/>
            <w:vMerge w:val="continue"/>
            <w:vAlign w:val="center"/>
          </w:tcPr>
          <w:p>
            <w:pPr>
              <w:adjustRightInd w:val="0"/>
              <w:snapToGrid w:val="0"/>
              <w:spacing w:line="330" w:lineRule="exact"/>
              <w:ind w:firstLine="0" w:firstLineChars="0"/>
              <w:rPr>
                <w:rFonts w:ascii="仿宋_GB2312" w:cs="Times New Roman"/>
                <w:kern w:val="0"/>
                <w:sz w:val="24"/>
                <w:szCs w:val="24"/>
              </w:rPr>
            </w:pPr>
          </w:p>
        </w:tc>
        <w:tc>
          <w:tcPr>
            <w:tcW w:w="932" w:type="dxa"/>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cs="Times New Roman"/>
                <w:kern w:val="0"/>
                <w:sz w:val="24"/>
                <w:szCs w:val="24"/>
              </w:rPr>
              <w:t>2.5</w:t>
            </w:r>
            <w:r>
              <w:rPr>
                <w:rFonts w:cs="Times New Roman"/>
                <w:kern w:val="0"/>
                <w:sz w:val="24"/>
                <w:szCs w:val="24"/>
              </w:rPr>
              <w:t>~</w:t>
            </w:r>
            <w:r>
              <w:rPr>
                <w:rFonts w:hint="eastAsia" w:ascii="仿宋_GB2312" w:cs="Times New Roman"/>
                <w:kern w:val="0"/>
                <w:sz w:val="24"/>
                <w:szCs w:val="24"/>
              </w:rPr>
              <w:t>5m</w:t>
            </w:r>
          </w:p>
          <w:p>
            <w:pPr>
              <w:adjustRightInd w:val="0"/>
              <w:snapToGrid w:val="0"/>
              <w:spacing w:line="330" w:lineRule="exact"/>
              <w:ind w:firstLine="0" w:firstLineChars="0"/>
              <w:jc w:val="center"/>
              <w:rPr>
                <w:rFonts w:ascii="仿宋_GB2312" w:cs="Times New Roman"/>
                <w:kern w:val="0"/>
                <w:sz w:val="24"/>
                <w:szCs w:val="24"/>
              </w:rPr>
            </w:pPr>
          </w:p>
        </w:tc>
        <w:tc>
          <w:tcPr>
            <w:tcW w:w="6293" w:type="dxa"/>
            <w:vAlign w:val="center"/>
          </w:tcPr>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个别结构单一的、过密情况下才对优势木进行间伐抚   育，以定株抚育为主，每伐桩只保留1</w:t>
            </w:r>
            <w:r>
              <w:rPr>
                <w:rFonts w:cs="Times New Roman"/>
                <w:kern w:val="0"/>
                <w:sz w:val="24"/>
                <w:szCs w:val="24"/>
              </w:rPr>
              <w:t>~</w:t>
            </w:r>
            <w:r>
              <w:rPr>
                <w:rFonts w:hint="eastAsia" w:ascii="仿宋_GB2312" w:cs="Times New Roman"/>
                <w:kern w:val="0"/>
                <w:sz w:val="24"/>
                <w:szCs w:val="24"/>
              </w:rPr>
              <w:t>2株萌条</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进行割灌为主的侧方抚育</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保留足够比例的混交树种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3" w:type="dxa"/>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cs="Times New Roman"/>
                <w:kern w:val="0"/>
                <w:sz w:val="24"/>
                <w:szCs w:val="24"/>
              </w:rPr>
              <w:t>2</w:t>
            </w:r>
          </w:p>
        </w:tc>
        <w:tc>
          <w:tcPr>
            <w:tcW w:w="1133" w:type="dxa"/>
            <w:vAlign w:val="center"/>
          </w:tcPr>
          <w:p>
            <w:pPr>
              <w:adjustRightInd w:val="0"/>
              <w:snapToGrid w:val="0"/>
              <w:spacing w:line="330" w:lineRule="exact"/>
              <w:ind w:firstLine="0" w:firstLineChars="0"/>
              <w:rPr>
                <w:rFonts w:ascii="仿宋_GB2312" w:cs="Times New Roman"/>
                <w:kern w:val="0"/>
                <w:sz w:val="24"/>
                <w:szCs w:val="24"/>
              </w:rPr>
            </w:pPr>
            <w:r>
              <w:rPr>
                <w:rFonts w:hint="eastAsia" w:ascii="仿宋_GB2312" w:cs="Times New Roman"/>
                <w:kern w:val="0"/>
                <w:sz w:val="24"/>
                <w:szCs w:val="24"/>
              </w:rPr>
              <w:t>幼林至杆材林的郁闭林分，是竞争生长质量形</w:t>
            </w:r>
          </w:p>
          <w:p>
            <w:pPr>
              <w:adjustRightInd w:val="0"/>
              <w:snapToGrid w:val="0"/>
              <w:spacing w:line="330" w:lineRule="exact"/>
              <w:ind w:firstLine="0" w:firstLineChars="0"/>
              <w:rPr>
                <w:rFonts w:ascii="仿宋_GB2312" w:cs="Times New Roman"/>
                <w:kern w:val="0"/>
                <w:sz w:val="24"/>
                <w:szCs w:val="24"/>
              </w:rPr>
            </w:pPr>
            <w:r>
              <w:rPr>
                <w:rFonts w:hint="eastAsia" w:ascii="仿宋_GB2312" w:cs="Times New Roman"/>
                <w:kern w:val="0"/>
                <w:sz w:val="24"/>
                <w:szCs w:val="24"/>
              </w:rPr>
              <w:t>成的阶段</w:t>
            </w:r>
          </w:p>
        </w:tc>
        <w:tc>
          <w:tcPr>
            <w:tcW w:w="932" w:type="dxa"/>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cs="Times New Roman"/>
                <w:kern w:val="0"/>
                <w:sz w:val="24"/>
                <w:szCs w:val="24"/>
              </w:rPr>
              <w:t>5</w:t>
            </w:r>
            <w:r>
              <w:rPr>
                <w:rFonts w:cs="Times New Roman"/>
                <w:kern w:val="0"/>
                <w:sz w:val="24"/>
                <w:szCs w:val="24"/>
              </w:rPr>
              <w:t>~</w:t>
            </w:r>
            <w:r>
              <w:rPr>
                <w:rFonts w:hint="eastAsia" w:ascii="仿宋_GB2312" w:cs="Times New Roman"/>
                <w:kern w:val="0"/>
                <w:sz w:val="24"/>
                <w:szCs w:val="24"/>
              </w:rPr>
              <w:t>10m</w:t>
            </w:r>
          </w:p>
          <w:p>
            <w:pPr>
              <w:adjustRightInd w:val="0"/>
              <w:snapToGrid w:val="0"/>
              <w:spacing w:line="330" w:lineRule="exact"/>
              <w:ind w:firstLine="0" w:firstLineChars="0"/>
              <w:jc w:val="center"/>
              <w:rPr>
                <w:rFonts w:ascii="仿宋_GB2312" w:cs="Times New Roman"/>
                <w:kern w:val="0"/>
                <w:sz w:val="24"/>
                <w:szCs w:val="24"/>
              </w:rPr>
            </w:pPr>
          </w:p>
        </w:tc>
        <w:tc>
          <w:tcPr>
            <w:tcW w:w="6293" w:type="dxa"/>
            <w:vAlign w:val="center"/>
          </w:tcPr>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核心目标是通过抚育促进优势个体快速生长.</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目标树选择，一般目标树密度为15</w:t>
            </w:r>
            <w:r>
              <w:rPr>
                <w:rFonts w:cs="Times New Roman"/>
                <w:kern w:val="0"/>
                <w:sz w:val="24"/>
                <w:szCs w:val="24"/>
              </w:rPr>
              <w:t>~</w:t>
            </w:r>
            <w:r>
              <w:rPr>
                <w:rFonts w:hint="eastAsia" w:ascii="仿宋_GB2312" w:cs="Times New Roman"/>
                <w:kern w:val="0"/>
                <w:sz w:val="24"/>
                <w:szCs w:val="24"/>
              </w:rPr>
              <w:t>20株/亩</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第一个打枝期，打枝高度要控制在 3</w:t>
            </w:r>
            <w:r>
              <w:rPr>
                <w:rFonts w:cs="Times New Roman"/>
                <w:kern w:val="0"/>
                <w:sz w:val="24"/>
                <w:szCs w:val="24"/>
              </w:rPr>
              <w:t>~</w:t>
            </w:r>
            <w:r>
              <w:rPr>
                <w:rFonts w:hint="eastAsia" w:ascii="仿宋_GB2312" w:cs="Times New Roman"/>
                <w:kern w:val="0"/>
                <w:sz w:val="24"/>
                <w:szCs w:val="24"/>
              </w:rPr>
              <w:t>3.5 米的下部</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抚育生态伴生树，优势木层强度抚育伐，促进目标树生长</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保留优秀群体时以群状为抚育单位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3" w:type="dxa"/>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cs="Times New Roman"/>
                <w:kern w:val="0"/>
                <w:sz w:val="24"/>
                <w:szCs w:val="24"/>
              </w:rPr>
              <w:t>3</w:t>
            </w:r>
          </w:p>
        </w:tc>
        <w:tc>
          <w:tcPr>
            <w:tcW w:w="1133" w:type="dxa"/>
            <w:vAlign w:val="center"/>
          </w:tcPr>
          <w:p>
            <w:pPr>
              <w:adjustRightInd w:val="0"/>
              <w:snapToGrid w:val="0"/>
              <w:spacing w:line="330" w:lineRule="exact"/>
              <w:ind w:firstLine="0" w:firstLineChars="0"/>
              <w:rPr>
                <w:rFonts w:ascii="仿宋_GB2312" w:cs="Times New Roman"/>
                <w:kern w:val="0"/>
                <w:sz w:val="24"/>
                <w:szCs w:val="24"/>
              </w:rPr>
            </w:pPr>
            <w:r>
              <w:rPr>
                <w:rFonts w:hint="eastAsia" w:ascii="仿宋_GB2312" w:cs="Times New Roman"/>
                <w:kern w:val="0"/>
                <w:sz w:val="24"/>
                <w:szCs w:val="24"/>
              </w:rPr>
              <w:t>杆材林，是质量选择和树高生长抚育阶段，顶级树种出现</w:t>
            </w:r>
          </w:p>
        </w:tc>
        <w:tc>
          <w:tcPr>
            <w:tcW w:w="932" w:type="dxa"/>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cs="Times New Roman"/>
                <w:kern w:val="0"/>
                <w:sz w:val="24"/>
                <w:szCs w:val="24"/>
              </w:rPr>
              <w:t>10</w:t>
            </w:r>
            <w:r>
              <w:rPr>
                <w:rFonts w:cs="Times New Roman"/>
                <w:kern w:val="0"/>
                <w:sz w:val="24"/>
                <w:szCs w:val="24"/>
              </w:rPr>
              <w:t>~</w:t>
            </w:r>
            <w:r>
              <w:rPr>
                <w:rFonts w:hint="eastAsia" w:ascii="仿宋_GB2312" w:cs="Times New Roman"/>
                <w:kern w:val="0"/>
                <w:sz w:val="24"/>
                <w:szCs w:val="24"/>
              </w:rPr>
              <w:t>15m</w:t>
            </w:r>
          </w:p>
          <w:p>
            <w:pPr>
              <w:adjustRightInd w:val="0"/>
              <w:snapToGrid w:val="0"/>
              <w:spacing w:line="330" w:lineRule="exact"/>
              <w:ind w:firstLine="0" w:firstLineChars="0"/>
              <w:jc w:val="center"/>
              <w:rPr>
                <w:rFonts w:ascii="仿宋_GB2312" w:cs="Times New Roman"/>
                <w:kern w:val="0"/>
                <w:sz w:val="24"/>
                <w:szCs w:val="24"/>
              </w:rPr>
            </w:pPr>
          </w:p>
        </w:tc>
        <w:tc>
          <w:tcPr>
            <w:tcW w:w="6293" w:type="dxa"/>
            <w:vAlign w:val="center"/>
          </w:tcPr>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核心目标通过采伐干扰树促进优势个体生长和结实，保护提高更新树种质量</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目标树和目标树群的再次选择，密度10株/亩左右</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目标树打枝控制在 6 米高度以下</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为每株目标树除伐1</w:t>
            </w:r>
            <w:r>
              <w:rPr>
                <w:rFonts w:cs="Times New Roman"/>
                <w:kern w:val="0"/>
                <w:sz w:val="24"/>
                <w:szCs w:val="24"/>
              </w:rPr>
              <w:t>~</w:t>
            </w:r>
            <w:r>
              <w:rPr>
                <w:rFonts w:hint="eastAsia" w:ascii="仿宋_GB2312" w:cs="Times New Roman"/>
                <w:kern w:val="0"/>
                <w:sz w:val="24"/>
                <w:szCs w:val="24"/>
              </w:rPr>
              <w:t>2株干扰树的上层强度疏伐，以利于目标树的生长，保持下木-间木层以促进干材质量</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在幼树层选择2代目标树，2代目标树应为实生目的树种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3" w:type="dxa"/>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cs="Times New Roman"/>
                <w:kern w:val="0"/>
                <w:sz w:val="24"/>
                <w:szCs w:val="24"/>
              </w:rPr>
              <w:t>4</w:t>
            </w:r>
          </w:p>
        </w:tc>
        <w:tc>
          <w:tcPr>
            <w:tcW w:w="1133" w:type="dxa"/>
            <w:vAlign w:val="center"/>
          </w:tcPr>
          <w:p>
            <w:pPr>
              <w:adjustRightInd w:val="0"/>
              <w:snapToGrid w:val="0"/>
              <w:spacing w:line="330" w:lineRule="exact"/>
              <w:ind w:firstLine="0" w:firstLineChars="0"/>
              <w:rPr>
                <w:rFonts w:ascii="仿宋_GB2312" w:cs="Times New Roman"/>
                <w:kern w:val="0"/>
                <w:sz w:val="24"/>
                <w:szCs w:val="24"/>
              </w:rPr>
            </w:pPr>
            <w:r>
              <w:rPr>
                <w:rFonts w:hint="eastAsia" w:ascii="仿宋_GB2312" w:cs="Times New Roman"/>
                <w:kern w:val="0"/>
                <w:sz w:val="24"/>
                <w:szCs w:val="24"/>
              </w:rPr>
              <w:t>乔木林，目标树生长阶段</w:t>
            </w:r>
          </w:p>
        </w:tc>
        <w:tc>
          <w:tcPr>
            <w:tcW w:w="932" w:type="dxa"/>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cs="Times New Roman"/>
                <w:kern w:val="0"/>
                <w:sz w:val="24"/>
                <w:szCs w:val="24"/>
              </w:rPr>
              <w:t>15</w:t>
            </w:r>
            <w:r>
              <w:rPr>
                <w:rFonts w:cs="Times New Roman"/>
                <w:kern w:val="0"/>
                <w:sz w:val="24"/>
                <w:szCs w:val="24"/>
              </w:rPr>
              <w:t>~</w:t>
            </w:r>
            <w:r>
              <w:rPr>
                <w:rFonts w:hint="eastAsia" w:ascii="仿宋_GB2312" w:cs="Times New Roman"/>
                <w:kern w:val="0"/>
                <w:sz w:val="24"/>
                <w:szCs w:val="24"/>
              </w:rPr>
              <w:t>20m</w:t>
            </w:r>
          </w:p>
        </w:tc>
        <w:tc>
          <w:tcPr>
            <w:tcW w:w="6293" w:type="dxa"/>
            <w:vAlign w:val="center"/>
          </w:tcPr>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核心目标是通过抚育促进优势个体生长，提高林下幼树和目标树的数量和质量</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选择目标树的最终密度在6株/亩左右</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延长抚育生长伐的间隔期到 10 年以上</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每株目标树选择和伐除 1 株干扰木的上层疏伐，保持下木-中间木层生长条件</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形成和保持较大的林木径级差异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3" w:type="dxa"/>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cs="Times New Roman"/>
                <w:kern w:val="0"/>
                <w:sz w:val="24"/>
                <w:szCs w:val="24"/>
              </w:rPr>
              <w:t>5</w:t>
            </w:r>
          </w:p>
        </w:tc>
        <w:tc>
          <w:tcPr>
            <w:tcW w:w="1133" w:type="dxa"/>
            <w:vAlign w:val="center"/>
          </w:tcPr>
          <w:p>
            <w:pPr>
              <w:adjustRightInd w:val="0"/>
              <w:snapToGrid w:val="0"/>
              <w:spacing w:line="330" w:lineRule="exact"/>
              <w:ind w:firstLine="0" w:firstLineChars="0"/>
              <w:rPr>
                <w:rFonts w:ascii="仿宋_GB2312" w:cs="Times New Roman"/>
                <w:kern w:val="0"/>
                <w:sz w:val="24"/>
                <w:szCs w:val="24"/>
              </w:rPr>
            </w:pPr>
            <w:r>
              <w:rPr>
                <w:rFonts w:hint="eastAsia" w:ascii="仿宋_GB2312" w:cs="Times New Roman"/>
                <w:kern w:val="0"/>
                <w:sz w:val="24"/>
                <w:szCs w:val="24"/>
              </w:rPr>
              <w:t>大径乔木林，林分蓄积生长阶段</w:t>
            </w:r>
          </w:p>
          <w:p>
            <w:pPr>
              <w:adjustRightInd w:val="0"/>
              <w:snapToGrid w:val="0"/>
              <w:spacing w:line="330" w:lineRule="exact"/>
              <w:ind w:firstLine="0" w:firstLineChars="0"/>
              <w:rPr>
                <w:rFonts w:ascii="仿宋_GB2312" w:cs="Times New Roman"/>
                <w:kern w:val="0"/>
                <w:sz w:val="24"/>
                <w:szCs w:val="24"/>
              </w:rPr>
            </w:pPr>
          </w:p>
        </w:tc>
        <w:tc>
          <w:tcPr>
            <w:tcW w:w="932" w:type="dxa"/>
            <w:vAlign w:val="center"/>
          </w:tcPr>
          <w:p>
            <w:pPr>
              <w:adjustRightInd w:val="0"/>
              <w:snapToGrid w:val="0"/>
              <w:spacing w:line="330" w:lineRule="exact"/>
              <w:ind w:firstLine="0" w:firstLineChars="0"/>
              <w:jc w:val="center"/>
              <w:rPr>
                <w:rFonts w:ascii="仿宋_GB2312" w:cs="Times New Roman"/>
                <w:kern w:val="0"/>
                <w:sz w:val="24"/>
                <w:szCs w:val="24"/>
              </w:rPr>
            </w:pPr>
            <w:r>
              <w:rPr>
                <w:rFonts w:hint="eastAsia" w:ascii="仿宋_GB2312" w:cs="Times New Roman"/>
                <w:kern w:val="0"/>
                <w:sz w:val="24"/>
                <w:szCs w:val="24"/>
              </w:rPr>
              <w:t>&gt;21m</w:t>
            </w:r>
          </w:p>
          <w:p>
            <w:pPr>
              <w:adjustRightInd w:val="0"/>
              <w:snapToGrid w:val="0"/>
              <w:spacing w:line="330" w:lineRule="exact"/>
              <w:ind w:firstLine="0" w:firstLineChars="0"/>
              <w:jc w:val="center"/>
              <w:rPr>
                <w:rFonts w:ascii="仿宋_GB2312" w:cs="Times New Roman"/>
                <w:kern w:val="0"/>
                <w:sz w:val="24"/>
                <w:szCs w:val="24"/>
              </w:rPr>
            </w:pPr>
          </w:p>
        </w:tc>
        <w:tc>
          <w:tcPr>
            <w:tcW w:w="6293" w:type="dxa"/>
            <w:vAlign w:val="center"/>
          </w:tcPr>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核心目标是培育第二代目标树，维护和保持生态服务功能并生产高品质用材</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目标树密度可在 5株/亩左右</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目标树蓄积生长抚育</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达到目标直径的林木以单株或群状形式进行主伐</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除伐中间木层和劣质木，同时抚育第2代目标树</w:t>
            </w:r>
          </w:p>
          <w:p>
            <w:pPr>
              <w:pStyle w:val="22"/>
              <w:numPr>
                <w:ilvl w:val="0"/>
                <w:numId w:val="5"/>
              </w:numPr>
              <w:adjustRightInd w:val="0"/>
              <w:snapToGrid w:val="0"/>
              <w:spacing w:line="330" w:lineRule="exact"/>
              <w:ind w:left="295" w:firstLine="0" w:firstLineChars="0"/>
              <w:rPr>
                <w:rFonts w:ascii="仿宋_GB2312" w:cs="Times New Roman"/>
                <w:kern w:val="0"/>
                <w:sz w:val="24"/>
                <w:szCs w:val="24"/>
              </w:rPr>
            </w:pPr>
            <w:r>
              <w:rPr>
                <w:rFonts w:hint="eastAsia" w:ascii="仿宋_GB2312" w:cs="Times New Roman"/>
                <w:kern w:val="0"/>
                <w:sz w:val="24"/>
                <w:szCs w:val="24"/>
              </w:rPr>
              <w:t>保护古树和优良伴生树种</w:t>
            </w:r>
          </w:p>
        </w:tc>
      </w:tr>
    </w:tbl>
    <w:p>
      <w:pPr>
        <w:ind w:firstLine="640"/>
        <w:rPr>
          <w:rFonts w:ascii="黑体" w:hAnsi="黑体" w:eastAsia="黑体" w:cs="Times New Roman"/>
          <w:bCs/>
          <w:szCs w:val="32"/>
        </w:rPr>
      </w:pPr>
      <w:bookmarkStart w:id="14" w:name="_Toc72481253"/>
      <w:r>
        <w:rPr>
          <w:rFonts w:ascii="黑体" w:hAnsi="黑体" w:eastAsia="黑体" w:cs="Times New Roman"/>
          <w:bCs/>
          <w:szCs w:val="32"/>
        </w:rPr>
        <w:t>6</w:t>
      </w:r>
      <w:r>
        <w:rPr>
          <w:rFonts w:hint="eastAsia" w:ascii="黑体" w:hAnsi="黑体" w:eastAsia="黑体" w:cs="Times New Roman"/>
          <w:bCs/>
          <w:szCs w:val="32"/>
        </w:rPr>
        <w:t>生态保护措施</w:t>
      </w:r>
      <w:bookmarkEnd w:id="14"/>
    </w:p>
    <w:p>
      <w:pPr>
        <w:ind w:firstLine="640"/>
        <w:jc w:val="left"/>
        <w:rPr>
          <w:rFonts w:ascii="仿宋_GB2312" w:cs="Times New Roman"/>
          <w:color w:val="000000" w:themeColor="text1"/>
          <w:szCs w:val="32"/>
          <w14:textFill>
            <w14:solidFill>
              <w14:schemeClr w14:val="tx1"/>
            </w14:solidFill>
          </w14:textFill>
        </w:rPr>
      </w:pPr>
      <w:r>
        <w:rPr>
          <w:rFonts w:hint="eastAsia" w:ascii="仿宋_GB2312" w:cs="Times New Roman"/>
          <w:color w:val="000000" w:themeColor="text1"/>
          <w:szCs w:val="32"/>
          <w14:textFill>
            <w14:solidFill>
              <w14:schemeClr w14:val="tx1"/>
            </w14:solidFill>
          </w14:textFill>
        </w:rPr>
        <w:t>参照森林抚育规程（GB/T 15781）执行。</w:t>
      </w:r>
    </w:p>
    <w:p>
      <w:pPr>
        <w:ind w:firstLine="640"/>
        <w:rPr>
          <w:rFonts w:ascii="黑体" w:hAnsi="黑体" w:eastAsia="黑体" w:cs="Times New Roman"/>
          <w:bCs/>
          <w:szCs w:val="32"/>
        </w:rPr>
      </w:pPr>
      <w:bookmarkStart w:id="15" w:name="_Toc72481254"/>
      <w:r>
        <w:rPr>
          <w:rFonts w:ascii="黑体" w:hAnsi="黑体" w:eastAsia="黑体" w:cs="Times New Roman"/>
          <w:bCs/>
          <w:szCs w:val="32"/>
        </w:rPr>
        <w:t>7</w:t>
      </w:r>
      <w:r>
        <w:rPr>
          <w:rFonts w:hint="eastAsia" w:ascii="黑体" w:hAnsi="黑体" w:eastAsia="黑体" w:cs="Times New Roman"/>
          <w:bCs/>
          <w:szCs w:val="32"/>
        </w:rPr>
        <w:t>档案管理</w:t>
      </w:r>
      <w:bookmarkEnd w:id="15"/>
    </w:p>
    <w:p>
      <w:pPr>
        <w:ind w:firstLine="640"/>
        <w:jc w:val="left"/>
        <w:rPr>
          <w:rFonts w:ascii="仿宋_GB2312" w:cs="Times New Roman"/>
          <w:color w:val="000000" w:themeColor="text1"/>
          <w:sz w:val="24"/>
          <w:szCs w:val="24"/>
          <w14:textFill>
            <w14:solidFill>
              <w14:schemeClr w14:val="tx1"/>
            </w14:solidFill>
          </w14:textFill>
        </w:rPr>
      </w:pPr>
      <w:r>
        <w:rPr>
          <w:rFonts w:hint="eastAsia" w:ascii="仿宋_GB2312" w:cs="Times New Roman"/>
          <w:color w:val="000000" w:themeColor="text1"/>
          <w:szCs w:val="32"/>
          <w14:textFill>
            <w14:solidFill>
              <w14:schemeClr w14:val="tx1"/>
            </w14:solidFill>
          </w14:textFill>
        </w:rPr>
        <w:t>参照森林抚育规程（GB/T 15781）执行。</w:t>
      </w:r>
    </w:p>
    <w:p>
      <w:pPr>
        <w:ind w:firstLine="640"/>
        <w:rPr>
          <w:rFonts w:cs="Times New Roman"/>
        </w:rPr>
        <w:sectPr>
          <w:pgSz w:w="11906" w:h="16838"/>
          <w:pgMar w:top="1928" w:right="1304" w:bottom="1531" w:left="1531" w:header="851" w:footer="1474" w:gutter="0"/>
          <w:cols w:space="425" w:num="1"/>
          <w:docGrid w:type="lines" w:linePitch="312" w:charSpace="0"/>
        </w:sectPr>
      </w:pPr>
    </w:p>
    <w:p>
      <w:pPr>
        <w:spacing w:line="680" w:lineRule="exact"/>
        <w:ind w:firstLine="0" w:firstLineChars="0"/>
        <w:jc w:val="center"/>
        <w:rPr>
          <w:rFonts w:eastAsia="方正小标宋简体" w:cs="Times New Roman"/>
          <w:sz w:val="44"/>
          <w:szCs w:val="44"/>
        </w:rPr>
      </w:pPr>
      <w:r>
        <w:rPr>
          <w:rFonts w:hint="eastAsia" w:eastAsia="方正小标宋简体" w:cs="Times New Roman"/>
          <w:sz w:val="44"/>
          <w:szCs w:val="44"/>
        </w:rPr>
        <w:t>推荐珍贵树种名录</w:t>
      </w:r>
    </w:p>
    <w:p>
      <w:pPr>
        <w:ind w:firstLine="0" w:firstLineChars="0"/>
        <w:rPr>
          <w:rFonts w:ascii="仿宋_GB2312" w:cs="Times New Roman"/>
          <w:sz w:val="44"/>
          <w:szCs w:val="44"/>
        </w:rPr>
      </w:pPr>
    </w:p>
    <w:p>
      <w:pPr>
        <w:ind w:firstLine="640"/>
        <w:rPr>
          <w:rFonts w:ascii="仿宋_GB2312" w:cs="Times New Roman"/>
        </w:rPr>
      </w:pPr>
      <w:r>
        <w:rPr>
          <w:rFonts w:hint="eastAsia" w:ascii="仿宋_GB2312" w:cs="Times New Roman"/>
        </w:rPr>
        <w:t>参考《中国主要栽培珍贵树种参考名录（2017年版）》（简称国家名录）《2008-2020年浙江省珍贵树种资源发展纲要》（简称浙江名录），根据2009年至今我省珍贵树种培育情况，现推荐名录如下：</w:t>
      </w:r>
    </w:p>
    <w:p>
      <w:pPr>
        <w:ind w:firstLine="640"/>
        <w:rPr>
          <w:rFonts w:ascii="仿宋_GB2312" w:cs="Times New Roman"/>
          <w:szCs w:val="32"/>
        </w:rPr>
      </w:pPr>
      <w:r>
        <w:rPr>
          <w:rFonts w:hint="eastAsia" w:ascii="仿宋_GB2312" w:cs="Times New Roman"/>
          <w:szCs w:val="32"/>
        </w:rPr>
        <w:t>红豆树、浙江楠、紫楠、闽楠、桢楠、榉树、</w:t>
      </w:r>
      <w:r>
        <w:rPr>
          <w:rFonts w:hint="eastAsia" w:ascii="仿宋_GB2312" w:cs="Times New Roman"/>
        </w:rPr>
        <w:t>柏木、</w:t>
      </w:r>
      <w:r>
        <w:rPr>
          <w:rFonts w:hint="eastAsia" w:ascii="仿宋_GB2312" w:cs="Times New Roman"/>
          <w:szCs w:val="32"/>
        </w:rPr>
        <w:t>浙南方红豆杉、浙江樟、榧树、黄檀、</w:t>
      </w:r>
      <w:r>
        <w:rPr>
          <w:rFonts w:hint="eastAsia" w:ascii="仿宋_GB2312" w:cs="Times New Roman"/>
        </w:rPr>
        <w:t>浙江柿、</w:t>
      </w:r>
      <w:r>
        <w:rPr>
          <w:rFonts w:hint="eastAsia" w:ascii="仿宋_GB2312" w:cs="Times New Roman"/>
          <w:szCs w:val="32"/>
        </w:rPr>
        <w:t>红锥、赤皮青冈、细叶青冈、</w:t>
      </w:r>
      <w:r>
        <w:rPr>
          <w:rFonts w:hint="eastAsia" w:ascii="仿宋_GB2312" w:cs="Times New Roman"/>
        </w:rPr>
        <w:t>檫木、</w:t>
      </w:r>
      <w:r>
        <w:rPr>
          <w:rFonts w:hint="eastAsia" w:ascii="仿宋_GB2312" w:cs="Times New Roman"/>
          <w:szCs w:val="32"/>
        </w:rPr>
        <w:t>普陀樟、</w:t>
      </w:r>
      <w:r>
        <w:rPr>
          <w:rFonts w:hint="eastAsia" w:ascii="仿宋_GB2312" w:cs="Times New Roman"/>
        </w:rPr>
        <w:t>舟山新木姜子、</w:t>
      </w:r>
      <w:r>
        <w:rPr>
          <w:rFonts w:hint="eastAsia" w:ascii="仿宋_GB2312" w:cs="Times New Roman"/>
          <w:szCs w:val="32"/>
        </w:rPr>
        <w:t>薄壳山核桃、</w:t>
      </w:r>
      <w:r>
        <w:rPr>
          <w:rFonts w:hint="eastAsia" w:ascii="仿宋_GB2312" w:cs="Times New Roman"/>
        </w:rPr>
        <w:t>杂交马</w:t>
      </w:r>
      <w:r>
        <w:rPr>
          <w:rFonts w:hint="eastAsia" w:ascii="仿宋_GB2312" w:cs="Times New Roman"/>
          <w:szCs w:val="32"/>
        </w:rPr>
        <w:t>褂木、黄连木、</w:t>
      </w:r>
      <w:r>
        <w:rPr>
          <w:rFonts w:hint="eastAsia" w:ascii="仿宋_GB2312" w:cs="Times New Roman"/>
        </w:rPr>
        <w:t>南酸枣、光皮桦、</w:t>
      </w:r>
      <w:r>
        <w:rPr>
          <w:rFonts w:hint="eastAsia" w:ascii="仿宋_GB2312" w:cs="Times New Roman"/>
          <w:szCs w:val="32"/>
        </w:rPr>
        <w:t>毛红椿、香椿、江南油杉、伯乐树、甜槠、苦槠、银杏、金钱松、刨花楠、红楠等。</w:t>
      </w:r>
    </w:p>
    <w:p>
      <w:pPr>
        <w:spacing w:after="156" w:afterLines="50" w:line="520" w:lineRule="exact"/>
        <w:ind w:firstLine="0" w:firstLineChars="0"/>
        <w:jc w:val="center"/>
        <w:rPr>
          <w:rFonts w:ascii="方正小标宋简体" w:eastAsia="方正小标宋简体" w:cs="Times New Roman"/>
          <w:sz w:val="28"/>
          <w:szCs w:val="28"/>
        </w:rPr>
      </w:pPr>
      <w:r>
        <w:rPr>
          <w:rFonts w:hint="eastAsia" w:ascii="方正小标宋简体" w:eastAsia="方正小标宋简体" w:cs="Times New Roman"/>
          <w:sz w:val="28"/>
          <w:szCs w:val="28"/>
        </w:rPr>
        <w:t>珍贵树种名录简表：</w:t>
      </w:r>
    </w:p>
    <w:tbl>
      <w:tblPr>
        <w:tblStyle w:val="13"/>
        <w:tblW w:w="9432" w:type="dxa"/>
        <w:tblInd w:w="-1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2377"/>
        <w:gridCol w:w="3946"/>
        <w:gridCol w:w="2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64" w:type="dxa"/>
            <w:shd w:val="clear" w:color="auto" w:fill="auto"/>
            <w:vAlign w:val="center"/>
          </w:tcPr>
          <w:p>
            <w:pPr>
              <w:adjustRightInd w:val="0"/>
              <w:snapToGrid w:val="0"/>
              <w:spacing w:line="300" w:lineRule="exact"/>
              <w:ind w:firstLine="0" w:firstLineChars="0"/>
              <w:jc w:val="center"/>
              <w:rPr>
                <w:rFonts w:eastAsia="楷体" w:cs="Times New Roman"/>
                <w:b/>
                <w:sz w:val="24"/>
                <w:szCs w:val="24"/>
              </w:rPr>
            </w:pPr>
            <w:r>
              <w:rPr>
                <w:rFonts w:hint="eastAsia" w:eastAsia="楷体" w:cs="Times New Roman"/>
                <w:b/>
                <w:sz w:val="24"/>
                <w:szCs w:val="24"/>
              </w:rPr>
              <w:t>序号</w:t>
            </w:r>
          </w:p>
        </w:tc>
        <w:tc>
          <w:tcPr>
            <w:tcW w:w="2377" w:type="dxa"/>
            <w:shd w:val="clear" w:color="auto" w:fill="auto"/>
            <w:vAlign w:val="center"/>
          </w:tcPr>
          <w:p>
            <w:pPr>
              <w:adjustRightInd w:val="0"/>
              <w:snapToGrid w:val="0"/>
              <w:spacing w:line="300" w:lineRule="exact"/>
              <w:ind w:firstLine="0" w:firstLineChars="0"/>
              <w:jc w:val="center"/>
              <w:rPr>
                <w:rFonts w:eastAsia="楷体" w:cs="Times New Roman"/>
                <w:b/>
                <w:sz w:val="24"/>
                <w:szCs w:val="24"/>
              </w:rPr>
            </w:pPr>
            <w:r>
              <w:rPr>
                <w:rFonts w:hint="eastAsia" w:eastAsia="楷体" w:cs="Times New Roman"/>
                <w:b/>
                <w:sz w:val="24"/>
                <w:szCs w:val="24"/>
              </w:rPr>
              <w:t>树种</w:t>
            </w:r>
          </w:p>
        </w:tc>
        <w:tc>
          <w:tcPr>
            <w:tcW w:w="3946" w:type="dxa"/>
            <w:shd w:val="clear" w:color="auto" w:fill="auto"/>
            <w:vAlign w:val="center"/>
          </w:tcPr>
          <w:p>
            <w:pPr>
              <w:adjustRightInd w:val="0"/>
              <w:snapToGrid w:val="0"/>
              <w:spacing w:line="300" w:lineRule="exact"/>
              <w:ind w:firstLine="0" w:firstLineChars="0"/>
              <w:jc w:val="center"/>
              <w:rPr>
                <w:rFonts w:eastAsia="楷体" w:cs="Times New Roman"/>
                <w:b/>
                <w:sz w:val="24"/>
                <w:szCs w:val="24"/>
              </w:rPr>
            </w:pPr>
            <w:r>
              <w:rPr>
                <w:rFonts w:hint="eastAsia" w:eastAsia="楷体" w:cs="Times New Roman"/>
                <w:b/>
                <w:sz w:val="24"/>
                <w:szCs w:val="24"/>
              </w:rPr>
              <w:t>拉丁学名</w:t>
            </w:r>
          </w:p>
        </w:tc>
        <w:tc>
          <w:tcPr>
            <w:tcW w:w="2345" w:type="dxa"/>
            <w:shd w:val="clear" w:color="auto" w:fill="auto"/>
            <w:vAlign w:val="center"/>
          </w:tcPr>
          <w:p>
            <w:pPr>
              <w:adjustRightInd w:val="0"/>
              <w:snapToGrid w:val="0"/>
              <w:spacing w:line="300" w:lineRule="exact"/>
              <w:ind w:firstLine="0" w:firstLineChars="0"/>
              <w:jc w:val="center"/>
              <w:rPr>
                <w:rFonts w:eastAsia="楷体" w:cs="Times New Roman"/>
                <w:b/>
                <w:sz w:val="24"/>
                <w:szCs w:val="24"/>
              </w:rPr>
            </w:pPr>
            <w:r>
              <w:rPr>
                <w:rFonts w:hint="eastAsia" w:eastAsia="楷体" w:cs="Times New Roman"/>
                <w:b/>
                <w:sz w:val="24"/>
                <w:szCs w:val="24"/>
              </w:rPr>
              <w:t>适宜发展区域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红豆树（花梨木）</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 xml:space="preserve">Ormosia hosiei </w:t>
            </w:r>
            <w:r>
              <w:rPr>
                <w:rFonts w:eastAsia="楷体" w:cs="Times New Roman"/>
                <w:sz w:val="24"/>
                <w:szCs w:val="24"/>
              </w:rPr>
              <w:t>Hemsl.et Wils.</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Ⅳ、Ⅴ，低山丘陵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浙江楠</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Phoebe chekiangensis</w:t>
            </w:r>
            <w:r>
              <w:rPr>
                <w:rFonts w:eastAsia="楷体" w:cs="Times New Roman"/>
                <w:sz w:val="24"/>
                <w:szCs w:val="24"/>
              </w:rPr>
              <w:t xml:space="preserve"> C.B.Shang</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3</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紫</w:t>
            </w:r>
            <w:r>
              <w:rPr>
                <w:rFonts w:eastAsia="楷体" w:cs="Times New Roman"/>
                <w:sz w:val="24"/>
                <w:szCs w:val="24"/>
              </w:rPr>
              <w:t xml:space="preserve">  </w:t>
            </w:r>
            <w:r>
              <w:rPr>
                <w:rFonts w:hint="eastAsia" w:eastAsia="楷体" w:cs="Times New Roman"/>
                <w:sz w:val="24"/>
                <w:szCs w:val="24"/>
              </w:rPr>
              <w:t>楠</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Phoebe sheareri</w:t>
            </w:r>
            <w:r>
              <w:rPr>
                <w:rFonts w:eastAsia="楷体" w:cs="Times New Roman"/>
                <w:sz w:val="24"/>
                <w:szCs w:val="24"/>
              </w:rPr>
              <w:t>(Hemsl.) Gamble</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4</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闽</w:t>
            </w:r>
            <w:r>
              <w:rPr>
                <w:rFonts w:eastAsia="楷体" w:cs="Times New Roman"/>
                <w:sz w:val="24"/>
                <w:szCs w:val="24"/>
              </w:rPr>
              <w:t xml:space="preserve">  </w:t>
            </w:r>
            <w:r>
              <w:rPr>
                <w:rFonts w:hint="eastAsia" w:eastAsia="楷体" w:cs="Times New Roman"/>
                <w:sz w:val="24"/>
                <w:szCs w:val="24"/>
              </w:rPr>
              <w:t>楠</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 xml:space="preserve">Phoebe bournei </w:t>
            </w:r>
            <w:r>
              <w:rPr>
                <w:rFonts w:eastAsia="楷体" w:cs="Times New Roman"/>
                <w:sz w:val="24"/>
                <w:szCs w:val="24"/>
              </w:rPr>
              <w:t>(Hemsl.)Yang</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Ⅱ、Ⅲ、Ⅳ、Ⅴ，山地丘陵区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5</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桢</w:t>
            </w:r>
            <w:r>
              <w:rPr>
                <w:rFonts w:eastAsia="楷体" w:cs="Times New Roman"/>
                <w:sz w:val="24"/>
                <w:szCs w:val="24"/>
              </w:rPr>
              <w:t xml:space="preserve">  </w:t>
            </w:r>
            <w:r>
              <w:rPr>
                <w:rFonts w:hint="eastAsia" w:eastAsia="楷体" w:cs="Times New Roman"/>
                <w:sz w:val="24"/>
                <w:szCs w:val="24"/>
              </w:rPr>
              <w:t>楠</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 xml:space="preserve">Phoebe zhennan </w:t>
            </w:r>
            <w:r>
              <w:rPr>
                <w:rFonts w:eastAsia="楷体" w:cs="Times New Roman"/>
                <w:sz w:val="24"/>
                <w:szCs w:val="24"/>
              </w:rPr>
              <w:t>S. Lee et F.N.Wei</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Ⅲ、Ⅳ，Ⅴ南部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6</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榉</w:t>
            </w:r>
            <w:r>
              <w:rPr>
                <w:rFonts w:eastAsia="楷体" w:cs="Times New Roman"/>
                <w:sz w:val="24"/>
                <w:szCs w:val="24"/>
              </w:rPr>
              <w:t xml:space="preserve">  </w:t>
            </w:r>
            <w:r>
              <w:rPr>
                <w:rFonts w:hint="eastAsia" w:eastAsia="楷体" w:cs="Times New Roman"/>
                <w:sz w:val="24"/>
                <w:szCs w:val="24"/>
              </w:rPr>
              <w:t>树</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Zelkova schneideriana</w:t>
            </w:r>
            <w:r>
              <w:rPr>
                <w:rFonts w:eastAsia="楷体" w:cs="Times New Roman"/>
                <w:sz w:val="24"/>
                <w:szCs w:val="24"/>
              </w:rPr>
              <w:t xml:space="preserve"> Hand.-Mazz.</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7</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柏木（璎珞柏）</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 xml:space="preserve">Cupressus funebris </w:t>
            </w:r>
            <w:r>
              <w:rPr>
                <w:rFonts w:eastAsia="楷体" w:cs="Times New Roman"/>
                <w:sz w:val="24"/>
                <w:szCs w:val="24"/>
              </w:rPr>
              <w:t>Endl.</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8</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南方红豆杉</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Taxus wallichiana</w:t>
            </w:r>
            <w:r>
              <w:rPr>
                <w:rFonts w:eastAsia="楷体" w:cs="Times New Roman"/>
                <w:sz w:val="24"/>
                <w:szCs w:val="24"/>
              </w:rPr>
              <w:t xml:space="preserve"> Zucc. var.</w:t>
            </w:r>
            <w:r>
              <w:rPr>
                <w:rFonts w:eastAsia="楷体" w:cs="Times New Roman"/>
                <w:i/>
                <w:sz w:val="24"/>
                <w:szCs w:val="24"/>
              </w:rPr>
              <w:t xml:space="preserve"> mairei</w:t>
            </w:r>
            <w:r>
              <w:rPr>
                <w:rFonts w:eastAsia="楷体" w:cs="Times New Roman"/>
                <w:sz w:val="24"/>
                <w:szCs w:val="24"/>
              </w:rPr>
              <w:t xml:space="preserve"> (Lemee et Levl.) L.K.Fu et N.Li</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Ⅱ、Ⅲ、Ⅳ，山地丘陵区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9</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浙江樟</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Cinnamomum chekiangense</w:t>
            </w:r>
            <w:r>
              <w:rPr>
                <w:rFonts w:eastAsia="楷体" w:cs="Times New Roman"/>
                <w:sz w:val="24"/>
                <w:szCs w:val="24"/>
              </w:rPr>
              <w:t xml:space="preserve"> Nakai</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10</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榧树（木榧、草榧）</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Torreya grandis</w:t>
            </w:r>
            <w:r>
              <w:rPr>
                <w:rFonts w:eastAsia="楷体" w:cs="Times New Roman"/>
                <w:sz w:val="24"/>
                <w:szCs w:val="24"/>
              </w:rPr>
              <w:t xml:space="preserve"> Fort.et Lindl</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Ⅰ、Ⅲ、Ⅳ、Ⅴ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11</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黄</w:t>
            </w:r>
            <w:r>
              <w:rPr>
                <w:rFonts w:eastAsia="楷体" w:cs="Times New Roman"/>
                <w:sz w:val="24"/>
                <w:szCs w:val="24"/>
              </w:rPr>
              <w:t xml:space="preserve">  </w:t>
            </w:r>
            <w:r>
              <w:rPr>
                <w:rFonts w:hint="eastAsia" w:eastAsia="楷体" w:cs="Times New Roman"/>
                <w:sz w:val="24"/>
                <w:szCs w:val="24"/>
              </w:rPr>
              <w:t>檀</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 xml:space="preserve">Dalbergia hupeana </w:t>
            </w:r>
            <w:r>
              <w:rPr>
                <w:rFonts w:eastAsia="楷体" w:cs="Times New Roman"/>
                <w:sz w:val="24"/>
                <w:szCs w:val="24"/>
              </w:rPr>
              <w:t>Hance</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12</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浙江柿</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 xml:space="preserve">Diospyros glaucifolia </w:t>
            </w:r>
            <w:r>
              <w:rPr>
                <w:rFonts w:eastAsia="楷体" w:cs="Times New Roman"/>
                <w:sz w:val="24"/>
                <w:szCs w:val="24"/>
              </w:rPr>
              <w:t>Metc.</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13</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红</w:t>
            </w:r>
            <w:r>
              <w:rPr>
                <w:rFonts w:eastAsia="楷体" w:cs="Times New Roman"/>
                <w:sz w:val="24"/>
                <w:szCs w:val="24"/>
              </w:rPr>
              <w:t xml:space="preserve">  </w:t>
            </w:r>
            <w:r>
              <w:rPr>
                <w:rFonts w:hint="eastAsia" w:eastAsia="楷体" w:cs="Times New Roman"/>
                <w:sz w:val="24"/>
                <w:szCs w:val="24"/>
              </w:rPr>
              <w:t>锥</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sz w:val="24"/>
                <w:szCs w:val="24"/>
                <w:shd w:val="clear" w:color="auto" w:fill="FFFFFF"/>
              </w:rPr>
              <w:t>Castanopsis hystrix Miq.</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Ⅱ、Ⅲ、Ⅳ、Ⅴ，山地丘陵区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14</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赤皮青冈（红稠）</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 xml:space="preserve">Cyclobalanopsis gilva </w:t>
            </w:r>
            <w:r>
              <w:rPr>
                <w:rFonts w:eastAsia="楷体" w:cs="Times New Roman"/>
                <w:sz w:val="24"/>
                <w:szCs w:val="24"/>
              </w:rPr>
              <w:t>(Bl.) Oerst.</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15</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细叶青冈</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 xml:space="preserve">Cyclobalanopsis myrsinaefolia </w:t>
            </w:r>
            <w:r>
              <w:rPr>
                <w:rFonts w:eastAsia="楷体" w:cs="Times New Roman"/>
                <w:sz w:val="24"/>
                <w:szCs w:val="24"/>
              </w:rPr>
              <w:t>(Bl.)Oerst</w:t>
            </w:r>
            <w:r>
              <w:rPr>
                <w:rFonts w:hint="eastAsia" w:eastAsia="楷体" w:cs="Times New Roman"/>
                <w:sz w:val="24"/>
                <w:szCs w:val="24"/>
              </w:rPr>
              <w:t>．</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16</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檫木（檫树）</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Sassafras tzumu</w:t>
            </w:r>
            <w:r>
              <w:rPr>
                <w:rFonts w:eastAsia="楷体" w:cs="Times New Roman"/>
                <w:sz w:val="24"/>
                <w:szCs w:val="24"/>
              </w:rPr>
              <w:t> (Hemsl.) Hemsl.</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17</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普陀障</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Cinnamomum japonicum</w:t>
            </w:r>
            <w:r>
              <w:rPr>
                <w:rFonts w:eastAsia="楷体" w:cs="Times New Roman"/>
                <w:sz w:val="24"/>
                <w:szCs w:val="24"/>
              </w:rPr>
              <w:t xml:space="preserve"> var.</w:t>
            </w:r>
            <w:r>
              <w:rPr>
                <w:rFonts w:eastAsia="楷体" w:cs="Times New Roman"/>
                <w:i/>
                <w:sz w:val="24"/>
                <w:szCs w:val="24"/>
              </w:rPr>
              <w:t>chenii</w:t>
            </w:r>
            <w:r>
              <w:rPr>
                <w:rFonts w:eastAsia="楷体" w:cs="Times New Roman"/>
                <w:sz w:val="24"/>
                <w:szCs w:val="24"/>
              </w:rPr>
              <w:t>(Nakai)G.F.Tao</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Ⅴ，低山丘陵区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18</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舟山新木姜子</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Neolitsea sericea</w:t>
            </w:r>
            <w:r>
              <w:rPr>
                <w:rFonts w:eastAsia="楷体" w:cs="Times New Roman"/>
                <w:sz w:val="24"/>
                <w:szCs w:val="24"/>
              </w:rPr>
              <w:t>(Bl.)Koidz.</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Ⅳ、Ⅴ，低山丘陵区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19</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薄壳山核桃</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Carya illinoensis</w:t>
            </w:r>
            <w:r>
              <w:rPr>
                <w:rFonts w:eastAsia="楷体" w:cs="Times New Roman"/>
                <w:sz w:val="24"/>
                <w:szCs w:val="24"/>
              </w:rPr>
              <w:t>(Wangenh.)K.Koch</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Ⅰ、Ⅱ、Ⅲ、Ⅳ、Ⅴ，平原丘陵区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20</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光皮桦（亮皮桦）</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Betula luminfera</w:t>
            </w:r>
            <w:r>
              <w:rPr>
                <w:rFonts w:eastAsia="楷体" w:cs="Times New Roman"/>
                <w:sz w:val="24"/>
                <w:szCs w:val="24"/>
              </w:rPr>
              <w:t xml:space="preserve"> Winkl.</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21</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杂交马褂木</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Liriodendron chinense ×tulipifera</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Ⅰ、Ⅱ、Ⅲ、Ⅳ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22</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黄连木</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Pistacia chinensis</w:t>
            </w:r>
            <w:r>
              <w:rPr>
                <w:rFonts w:eastAsia="楷体" w:cs="Times New Roman"/>
                <w:sz w:val="24"/>
                <w:szCs w:val="24"/>
              </w:rPr>
              <w:t xml:space="preserve"> Bunge</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23</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南酸枣</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rPr>
              <w:t>Choerospondias axillaris</w:t>
            </w:r>
            <w:r>
              <w:rPr>
                <w:rFonts w:eastAsia="楷体" w:cs="Times New Roman"/>
                <w:sz w:val="24"/>
                <w:szCs w:val="24"/>
              </w:rPr>
              <w:t xml:space="preserve"> (Roxb.)Burtt et Hill</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24</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毛红椿</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Toona ciliata</w:t>
            </w:r>
            <w:r>
              <w:rPr>
                <w:rFonts w:eastAsia="楷体" w:cs="Times New Roman"/>
                <w:sz w:val="24"/>
                <w:szCs w:val="24"/>
              </w:rPr>
              <w:t xml:space="preserve"> Roem.var. </w:t>
            </w:r>
            <w:r>
              <w:rPr>
                <w:rFonts w:eastAsia="楷体" w:cs="Times New Roman"/>
                <w:i/>
                <w:sz w:val="24"/>
                <w:szCs w:val="24"/>
              </w:rPr>
              <w:t>pubescena</w:t>
            </w:r>
            <w:r>
              <w:rPr>
                <w:rFonts w:eastAsia="楷体" w:cs="Times New Roman"/>
                <w:sz w:val="24"/>
                <w:szCs w:val="24"/>
              </w:rPr>
              <w:t xml:space="preserve"> (Fr.) Hand-Mazz.</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Ⅱ、Ⅳ、Ⅴ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25</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香</w:t>
            </w:r>
            <w:r>
              <w:rPr>
                <w:rFonts w:eastAsia="楷体" w:cs="Times New Roman"/>
                <w:sz w:val="24"/>
                <w:szCs w:val="24"/>
              </w:rPr>
              <w:t xml:space="preserve">  </w:t>
            </w:r>
            <w:r>
              <w:rPr>
                <w:rFonts w:hint="eastAsia" w:eastAsia="楷体" w:cs="Times New Roman"/>
                <w:sz w:val="24"/>
                <w:szCs w:val="24"/>
              </w:rPr>
              <w:t>椿</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Toona sinensis</w:t>
            </w:r>
            <w:r>
              <w:rPr>
                <w:rFonts w:eastAsia="楷体" w:cs="Times New Roman"/>
                <w:sz w:val="24"/>
                <w:szCs w:val="24"/>
              </w:rPr>
              <w:t xml:space="preserve"> (A.Juss.) Roem.</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26</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江南油杉</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Keteleeria cyclolepis</w:t>
            </w:r>
            <w:r>
              <w:rPr>
                <w:rFonts w:eastAsia="楷体" w:cs="Times New Roman"/>
                <w:sz w:val="24"/>
                <w:szCs w:val="24"/>
              </w:rPr>
              <w:t xml:space="preserve"> Flous</w:t>
            </w:r>
          </w:p>
        </w:tc>
        <w:tc>
          <w:tcPr>
            <w:tcW w:w="2345"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Ⅱ、Ⅲ、Ⅳ，山地丘陵区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27</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伯乐树</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Bretschneidera sinensis</w:t>
            </w:r>
            <w:r>
              <w:rPr>
                <w:rFonts w:eastAsia="楷体" w:cs="Times New Roman"/>
                <w:sz w:val="24"/>
                <w:szCs w:val="24"/>
              </w:rPr>
              <w:t xml:space="preserve"> Hemsl.</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Ⅲ、Ⅳ、Ⅴ，山地丘陵区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28</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甜</w:t>
            </w:r>
            <w:r>
              <w:rPr>
                <w:rFonts w:eastAsia="楷体" w:cs="Times New Roman"/>
                <w:sz w:val="24"/>
                <w:szCs w:val="24"/>
              </w:rPr>
              <w:t xml:space="preserve">  </w:t>
            </w:r>
            <w:r>
              <w:rPr>
                <w:rFonts w:hint="eastAsia" w:eastAsia="楷体" w:cs="Times New Roman"/>
                <w:sz w:val="24"/>
                <w:szCs w:val="24"/>
              </w:rPr>
              <w:t>槠</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eastAsia="楷体" w:cs="Times New Roman"/>
                <w:i/>
                <w:sz w:val="24"/>
                <w:szCs w:val="24"/>
              </w:rPr>
              <w:t>Castanopsis eyrei</w:t>
            </w:r>
            <w:r>
              <w:rPr>
                <w:rFonts w:eastAsia="楷体" w:cs="Times New Roman"/>
                <w:sz w:val="24"/>
                <w:szCs w:val="24"/>
              </w:rPr>
              <w:t xml:space="preserve"> (Cnamp.ex Benth.) Tutch.</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Ⅱ、Ⅲ、Ⅳ、Ⅴ，山地丘陵区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29</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苦</w:t>
            </w:r>
            <w:r>
              <w:rPr>
                <w:rFonts w:eastAsia="楷体" w:cs="Times New Roman"/>
                <w:sz w:val="24"/>
                <w:szCs w:val="24"/>
              </w:rPr>
              <w:t xml:space="preserve">  </w:t>
            </w:r>
            <w:r>
              <w:rPr>
                <w:rFonts w:hint="eastAsia" w:eastAsia="楷体" w:cs="Times New Roman"/>
                <w:sz w:val="24"/>
                <w:szCs w:val="24"/>
              </w:rPr>
              <w:t>槠</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rPr>
            </w:pPr>
            <w:r>
              <w:rPr>
                <w:rFonts w:eastAsia="楷体" w:cs="Times New Roman"/>
                <w:i/>
                <w:sz w:val="24"/>
                <w:szCs w:val="24"/>
                <w:shd w:val="clear" w:color="auto" w:fill="FFFFFF"/>
              </w:rPr>
              <w:t>Castanopsis sclerophylla</w:t>
            </w:r>
            <w:r>
              <w:rPr>
                <w:rFonts w:eastAsia="楷体" w:cs="Times New Roman"/>
                <w:sz w:val="24"/>
                <w:szCs w:val="24"/>
                <w:shd w:val="clear" w:color="auto" w:fill="FFFFFF"/>
              </w:rPr>
              <w:t xml:space="preserve"> </w:t>
            </w:r>
            <w:r>
              <w:rPr>
                <w:rFonts w:hint="eastAsia" w:eastAsia="楷体" w:cs="Times New Roman"/>
                <w:sz w:val="24"/>
                <w:szCs w:val="24"/>
                <w:shd w:val="clear" w:color="auto" w:fill="FFFFFF"/>
              </w:rPr>
              <w:t>（</w:t>
            </w:r>
            <w:r>
              <w:rPr>
                <w:rFonts w:eastAsia="楷体" w:cs="Times New Roman"/>
                <w:sz w:val="24"/>
                <w:szCs w:val="24"/>
                <w:shd w:val="clear" w:color="auto" w:fill="FFFFFF"/>
              </w:rPr>
              <w:t>Lindl.</w:t>
            </w:r>
            <w:r>
              <w:rPr>
                <w:rFonts w:hint="eastAsia" w:eastAsia="楷体" w:cs="Times New Roman"/>
                <w:sz w:val="24"/>
                <w:szCs w:val="24"/>
                <w:shd w:val="clear" w:color="auto" w:fill="FFFFFF"/>
              </w:rPr>
              <w:t>）</w:t>
            </w:r>
            <w:r>
              <w:rPr>
                <w:rFonts w:eastAsia="楷体" w:cs="Times New Roman"/>
                <w:sz w:val="24"/>
                <w:szCs w:val="24"/>
                <w:shd w:val="clear" w:color="auto" w:fill="FFFFFF"/>
              </w:rPr>
              <w:t>Schott.</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Ⅱ、Ⅲ、Ⅳ、Ⅴ，山地丘陵区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30</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银</w:t>
            </w:r>
            <w:r>
              <w:rPr>
                <w:rFonts w:eastAsia="楷体" w:cs="Times New Roman"/>
                <w:sz w:val="24"/>
                <w:szCs w:val="24"/>
              </w:rPr>
              <w:t xml:space="preserve">  </w:t>
            </w:r>
            <w:r>
              <w:rPr>
                <w:rFonts w:hint="eastAsia" w:eastAsia="楷体" w:cs="Times New Roman"/>
                <w:sz w:val="24"/>
                <w:szCs w:val="24"/>
              </w:rPr>
              <w:t>杏</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sz w:val="24"/>
                <w:szCs w:val="24"/>
                <w:shd w:val="clear" w:color="auto" w:fill="FFFFFF"/>
              </w:rPr>
            </w:pPr>
            <w:r>
              <w:rPr>
                <w:rFonts w:eastAsia="楷体" w:cs="Times New Roman"/>
                <w:i/>
                <w:sz w:val="24"/>
                <w:szCs w:val="24"/>
                <w:shd w:val="clear" w:color="auto" w:fill="FFFFFF"/>
              </w:rPr>
              <w:t>Ginkgo biloba</w:t>
            </w:r>
            <w:r>
              <w:rPr>
                <w:rFonts w:eastAsia="楷体" w:cs="Times New Roman"/>
                <w:sz w:val="24"/>
                <w:szCs w:val="24"/>
                <w:shd w:val="clear" w:color="auto" w:fill="FFFFFF"/>
              </w:rPr>
              <w:t xml:space="preserve"> L.</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31</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金钱松</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shd w:val="clear" w:color="auto" w:fill="FFFFFF"/>
              </w:rPr>
            </w:pPr>
            <w:r>
              <w:rPr>
                <w:rFonts w:eastAsia="楷体" w:cs="Times New Roman"/>
                <w:i/>
                <w:sz w:val="24"/>
                <w:szCs w:val="24"/>
              </w:rPr>
              <w:t>Pseudolarix kaempferi</w:t>
            </w:r>
            <w:r>
              <w:rPr>
                <w:rFonts w:eastAsia="楷体" w:cs="Times New Roman"/>
                <w:sz w:val="24"/>
                <w:szCs w:val="24"/>
              </w:rPr>
              <w:t>(Lindl.)Gord.</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Ⅰ、Ⅱ、Ⅲ、Ⅳ、Ⅴ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32</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刨花楠</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shd w:val="clear" w:color="auto" w:fill="FFFFFF"/>
              </w:rPr>
            </w:pPr>
            <w:r>
              <w:rPr>
                <w:rFonts w:eastAsia="楷体" w:cs="Times New Roman"/>
                <w:i/>
                <w:sz w:val="24"/>
                <w:szCs w:val="24"/>
              </w:rPr>
              <w:t xml:space="preserve">Machilus pauhoi </w:t>
            </w:r>
            <w:r>
              <w:rPr>
                <w:rFonts w:eastAsia="楷体" w:cs="Times New Roman"/>
                <w:sz w:val="24"/>
                <w:szCs w:val="24"/>
              </w:rPr>
              <w:t>Kaneh</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Ⅰ、Ⅲ、Ⅳ、Ⅴ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dxa"/>
            <w:shd w:val="clear" w:color="auto" w:fill="auto"/>
            <w:vAlign w:val="center"/>
          </w:tcPr>
          <w:p>
            <w:pPr>
              <w:adjustRightInd w:val="0"/>
              <w:snapToGrid w:val="0"/>
              <w:spacing w:line="300" w:lineRule="exact"/>
              <w:ind w:firstLine="0" w:firstLineChars="0"/>
              <w:jc w:val="center"/>
              <w:rPr>
                <w:rFonts w:eastAsia="楷体" w:cs="Times New Roman"/>
                <w:sz w:val="24"/>
                <w:szCs w:val="24"/>
              </w:rPr>
            </w:pPr>
            <w:r>
              <w:rPr>
                <w:rFonts w:eastAsia="楷体" w:cs="Times New Roman"/>
                <w:sz w:val="24"/>
                <w:szCs w:val="24"/>
              </w:rPr>
              <w:t>33</w:t>
            </w:r>
          </w:p>
        </w:tc>
        <w:tc>
          <w:tcPr>
            <w:tcW w:w="2377" w:type="dxa"/>
            <w:shd w:val="clear" w:color="auto" w:fill="auto"/>
            <w:vAlign w:val="center"/>
          </w:tcPr>
          <w:p>
            <w:pPr>
              <w:adjustRightInd w:val="0"/>
              <w:snapToGrid w:val="0"/>
              <w:spacing w:line="300" w:lineRule="exact"/>
              <w:ind w:firstLine="0" w:firstLineChars="0"/>
              <w:rPr>
                <w:rFonts w:eastAsia="楷体" w:cs="Times New Roman"/>
                <w:sz w:val="24"/>
                <w:szCs w:val="24"/>
              </w:rPr>
            </w:pPr>
            <w:r>
              <w:rPr>
                <w:rFonts w:hint="eastAsia" w:eastAsia="楷体" w:cs="Times New Roman"/>
                <w:sz w:val="24"/>
                <w:szCs w:val="24"/>
              </w:rPr>
              <w:t>红</w:t>
            </w:r>
            <w:r>
              <w:rPr>
                <w:rFonts w:eastAsia="楷体" w:cs="Times New Roman"/>
                <w:sz w:val="24"/>
                <w:szCs w:val="24"/>
              </w:rPr>
              <w:t xml:space="preserve">  </w:t>
            </w:r>
            <w:r>
              <w:rPr>
                <w:rFonts w:hint="eastAsia" w:eastAsia="楷体" w:cs="Times New Roman"/>
                <w:sz w:val="24"/>
                <w:szCs w:val="24"/>
              </w:rPr>
              <w:t>楠</w:t>
            </w:r>
          </w:p>
        </w:tc>
        <w:tc>
          <w:tcPr>
            <w:tcW w:w="3946" w:type="dxa"/>
            <w:shd w:val="clear" w:color="auto" w:fill="auto"/>
            <w:vAlign w:val="center"/>
          </w:tcPr>
          <w:p>
            <w:pPr>
              <w:adjustRightInd w:val="0"/>
              <w:snapToGrid w:val="0"/>
              <w:spacing w:line="300" w:lineRule="exact"/>
              <w:ind w:firstLine="0" w:firstLineChars="0"/>
              <w:jc w:val="left"/>
              <w:rPr>
                <w:rFonts w:eastAsia="楷体" w:cs="Times New Roman"/>
                <w:i/>
                <w:sz w:val="24"/>
                <w:szCs w:val="24"/>
                <w:shd w:val="clear" w:color="auto" w:fill="FFFFFF"/>
              </w:rPr>
            </w:pPr>
            <w:r>
              <w:rPr>
                <w:rFonts w:eastAsia="楷体" w:cs="Times New Roman"/>
                <w:i/>
                <w:sz w:val="24"/>
                <w:szCs w:val="24"/>
              </w:rPr>
              <w:t>Machilus thunbergii</w:t>
            </w:r>
            <w:r>
              <w:rPr>
                <w:rFonts w:eastAsia="楷体" w:cs="Times New Roman"/>
                <w:sz w:val="24"/>
                <w:szCs w:val="24"/>
              </w:rPr>
              <w:t xml:space="preserve"> Sieb. et Zucc.</w:t>
            </w:r>
          </w:p>
        </w:tc>
        <w:tc>
          <w:tcPr>
            <w:tcW w:w="2345" w:type="dxa"/>
            <w:shd w:val="clear" w:color="auto" w:fill="auto"/>
            <w:vAlign w:val="center"/>
          </w:tcPr>
          <w:p>
            <w:pPr>
              <w:adjustRightInd w:val="0"/>
              <w:snapToGrid w:val="0"/>
              <w:spacing w:line="300" w:lineRule="exact"/>
              <w:ind w:firstLine="0" w:firstLineChars="0"/>
              <w:jc w:val="left"/>
              <w:rPr>
                <w:rFonts w:eastAsia="楷体" w:cs="Times New Roman"/>
                <w:sz w:val="24"/>
                <w:szCs w:val="24"/>
              </w:rPr>
            </w:pPr>
            <w:r>
              <w:rPr>
                <w:rFonts w:hint="eastAsia" w:eastAsia="楷体" w:cs="Times New Roman"/>
                <w:sz w:val="24"/>
                <w:szCs w:val="24"/>
              </w:rPr>
              <w:t>Ⅰ、Ⅱ、Ⅲ、Ⅳ、Ⅴ</w:t>
            </w:r>
          </w:p>
        </w:tc>
      </w:tr>
    </w:tbl>
    <w:p>
      <w:pPr>
        <w:ind w:firstLine="480"/>
        <w:rPr>
          <w:rFonts w:cs="Times New Roman"/>
          <w:sz w:val="24"/>
          <w:szCs w:val="24"/>
        </w:rPr>
      </w:pPr>
      <w:r>
        <w:rPr>
          <w:rFonts w:hint="eastAsia" w:cs="Times New Roman"/>
          <w:sz w:val="24"/>
          <w:szCs w:val="24"/>
        </w:rPr>
        <w:t>Ⅰ浙北平原林业发展区，Ⅱ浙西中低山林业发展区，Ⅲ浙中丘陵盆地林业发展区，Ⅳ浙南山地林业发展区，Ⅴ浙东沿海丘陵海岛林业发展区。</w:t>
      </w:r>
    </w:p>
    <w:p>
      <w:pPr>
        <w:ind w:firstLine="640"/>
        <w:rPr>
          <w:rFonts w:cs="Times New Roman"/>
        </w:rPr>
        <w:sectPr>
          <w:pgSz w:w="11906" w:h="16838"/>
          <w:pgMar w:top="1928" w:right="1304" w:bottom="1531" w:left="1531" w:header="851" w:footer="1474" w:gutter="0"/>
          <w:cols w:space="425" w:num="1"/>
          <w:docGrid w:type="lines" w:linePitch="312" w:charSpace="0"/>
        </w:sectPr>
      </w:pPr>
    </w:p>
    <w:p>
      <w:pPr>
        <w:pStyle w:val="2"/>
        <w:spacing w:before="0" w:after="0"/>
        <w:ind w:firstLine="0" w:firstLineChars="0"/>
        <w:rPr>
          <w:rFonts w:ascii="方正小标宋简体" w:eastAsia="方正小标宋简体" w:cs="Times New Roman"/>
          <w:b w:val="0"/>
          <w:sz w:val="44"/>
        </w:rPr>
      </w:pPr>
      <w:bookmarkStart w:id="16" w:name="_Toc80367065"/>
      <w:r>
        <w:rPr>
          <w:rFonts w:hint="eastAsia" w:ascii="方正小标宋简体" w:eastAsia="方正小标宋简体" w:cs="Times New Roman"/>
          <w:b w:val="0"/>
          <w:sz w:val="44"/>
        </w:rPr>
        <w:t>四、大径材培育建设指导意见</w:t>
      </w:r>
      <w:bookmarkEnd w:id="16"/>
    </w:p>
    <w:p>
      <w:pPr>
        <w:ind w:firstLine="640"/>
        <w:rPr>
          <w:rFonts w:ascii="仿宋_GB2312"/>
        </w:rPr>
      </w:pPr>
    </w:p>
    <w:p>
      <w:pPr>
        <w:ind w:firstLine="640"/>
        <w:rPr>
          <w:rFonts w:ascii="黑体" w:hAnsi="黑体" w:eastAsia="黑体" w:cs="Times New Roman"/>
          <w:bCs/>
          <w:szCs w:val="32"/>
        </w:rPr>
      </w:pPr>
      <w:r>
        <w:rPr>
          <w:rFonts w:hint="eastAsia" w:ascii="黑体" w:hAnsi="黑体" w:eastAsia="黑体" w:cs="Times New Roman"/>
          <w:bCs/>
          <w:szCs w:val="32"/>
        </w:rPr>
        <w:t>1适用范围</w:t>
      </w:r>
    </w:p>
    <w:p>
      <w:pPr>
        <w:ind w:firstLine="640"/>
        <w:rPr>
          <w:rFonts w:ascii="仿宋_GB2312" w:cs="Times New Roman"/>
        </w:rPr>
      </w:pPr>
      <w:r>
        <w:rPr>
          <w:rFonts w:hint="eastAsia" w:ascii="仿宋_GB2312" w:cs="Times New Roman"/>
        </w:rPr>
        <w:t>本指导意见规定了大径材培育的原则、对象、方式、作业设计、施工、控制指标及检查验收等内容和要求。</w:t>
      </w:r>
    </w:p>
    <w:p>
      <w:pPr>
        <w:ind w:firstLine="640"/>
        <w:rPr>
          <w:rFonts w:ascii="黑体" w:hAnsi="黑体" w:eastAsia="黑体" w:cs="Times New Roman"/>
          <w:bCs/>
          <w:szCs w:val="32"/>
        </w:rPr>
      </w:pPr>
      <w:r>
        <w:rPr>
          <w:rFonts w:hint="eastAsia" w:ascii="黑体" w:hAnsi="黑体" w:eastAsia="黑体" w:cs="Times New Roman"/>
          <w:bCs/>
          <w:szCs w:val="32"/>
        </w:rPr>
        <w:t>2规范性引用文件</w:t>
      </w:r>
    </w:p>
    <w:p>
      <w:pPr>
        <w:ind w:firstLine="640"/>
        <w:rPr>
          <w:rFonts w:ascii="仿宋_GB2312" w:cs="Times New Roman"/>
        </w:rPr>
      </w:pPr>
      <w:r>
        <w:rPr>
          <w:rFonts w:hint="eastAsia" w:ascii="仿宋_GB2312" w:cs="Times New Roman"/>
        </w:rPr>
        <w:t xml:space="preserve">下列文件对于本文件的应用是必不可少的。凡是注日期的引用文件，仅所注日期的版本适用于本文件。凡是不注日期的引用文件，其最新版本（包括所有的修改单）适用于本文件。 </w:t>
      </w:r>
    </w:p>
    <w:p>
      <w:pPr>
        <w:ind w:firstLine="640"/>
        <w:rPr>
          <w:rFonts w:ascii="仿宋_GB2312" w:cs="Times New Roman"/>
        </w:rPr>
      </w:pPr>
      <w:r>
        <w:rPr>
          <w:rFonts w:hint="eastAsia" w:ascii="仿宋_GB2312" w:cs="Times New Roman"/>
        </w:rPr>
        <w:t xml:space="preserve">GB/T 15781森林抚育规程 </w:t>
      </w:r>
    </w:p>
    <w:p>
      <w:pPr>
        <w:ind w:firstLine="640"/>
        <w:rPr>
          <w:rFonts w:ascii="仿宋_GB2312" w:cs="Times New Roman"/>
        </w:rPr>
      </w:pPr>
      <w:r>
        <w:rPr>
          <w:rFonts w:hint="eastAsia" w:ascii="仿宋_GB2312" w:cs="Times New Roman"/>
        </w:rPr>
        <w:t>LY/T 2118 大径级用材林培育导则</w:t>
      </w:r>
    </w:p>
    <w:p>
      <w:pPr>
        <w:ind w:firstLine="640"/>
        <w:rPr>
          <w:rFonts w:ascii="仿宋_GB2312" w:cs="Times New Roman"/>
        </w:rPr>
      </w:pPr>
      <w:r>
        <w:rPr>
          <w:rFonts w:hint="eastAsia" w:ascii="仿宋_GB2312" w:cs="Times New Roman"/>
        </w:rPr>
        <w:t>DB33/T 2143-2018森林抚育目标树选择和密度控制技术规程</w:t>
      </w:r>
    </w:p>
    <w:p>
      <w:pPr>
        <w:ind w:firstLine="640"/>
        <w:rPr>
          <w:rFonts w:ascii="黑体" w:hAnsi="黑体" w:eastAsia="黑体" w:cs="Times New Roman"/>
          <w:bCs/>
          <w:szCs w:val="32"/>
        </w:rPr>
      </w:pPr>
      <w:r>
        <w:rPr>
          <w:rFonts w:hint="eastAsia" w:ascii="黑体" w:hAnsi="黑体" w:eastAsia="黑体" w:cs="Times New Roman"/>
          <w:bCs/>
          <w:szCs w:val="32"/>
        </w:rPr>
        <w:t>3术语</w:t>
      </w:r>
    </w:p>
    <w:p>
      <w:pPr>
        <w:ind w:firstLine="640"/>
        <w:rPr>
          <w:rFonts w:ascii="仿宋_GB2312" w:cs="Times New Roman"/>
        </w:rPr>
      </w:pPr>
      <w:r>
        <w:rPr>
          <w:rFonts w:hint="eastAsia" w:ascii="仿宋_GB2312" w:cs="Times New Roman"/>
        </w:rPr>
        <w:t>参照《森林抚育目标树选择和密度控制技术规程（DB33/T 2143-2018）》</w:t>
      </w:r>
    </w:p>
    <w:p>
      <w:pPr>
        <w:ind w:firstLine="640"/>
        <w:rPr>
          <w:rFonts w:ascii="仿宋_GB2312" w:cs="Times New Roman"/>
        </w:rPr>
      </w:pPr>
      <w:r>
        <w:rPr>
          <w:rFonts w:hint="eastAsia" w:ascii="仿宋_GB2312" w:cs="Times New Roman"/>
        </w:rPr>
        <w:t>立地指数</w:t>
      </w:r>
    </w:p>
    <w:p>
      <w:pPr>
        <w:ind w:firstLine="640"/>
        <w:rPr>
          <w:rFonts w:ascii="仿宋_GB2312" w:cs="Times New Roman"/>
        </w:rPr>
      </w:pPr>
      <w:r>
        <w:rPr>
          <w:rFonts w:hint="eastAsia" w:ascii="仿宋_GB2312" w:cs="Times New Roman"/>
        </w:rPr>
        <w:t>是指林分在基准年龄高峰时的优势木高，基准年龄指林分优势高生长达到最高峰或趋于稳定时期的年龄。</w:t>
      </w:r>
    </w:p>
    <w:p>
      <w:pPr>
        <w:ind w:firstLine="640"/>
        <w:rPr>
          <w:rFonts w:ascii="仿宋_GB2312" w:cs="Times New Roman"/>
        </w:rPr>
      </w:pPr>
      <w:r>
        <w:rPr>
          <w:rFonts w:hint="eastAsia" w:ascii="仿宋_GB2312" w:cs="Times New Roman"/>
        </w:rPr>
        <w:t>地位级</w:t>
      </w:r>
    </w:p>
    <w:p>
      <w:pPr>
        <w:ind w:firstLine="640"/>
        <w:rPr>
          <w:rFonts w:ascii="仿宋_GB2312" w:cs="Times New Roman"/>
        </w:rPr>
      </w:pPr>
      <w:r>
        <w:rPr>
          <w:rFonts w:hint="eastAsia" w:ascii="仿宋_GB2312" w:cs="Times New Roman"/>
        </w:rPr>
        <w:t>它反映立地条件主要是气候、土壤对树种的适宜程度,特别是土壤肥力的状况。属评价立地质量的定量指标。常在地位级表中查定。</w:t>
      </w:r>
    </w:p>
    <w:p>
      <w:pPr>
        <w:ind w:firstLine="640"/>
        <w:rPr>
          <w:rFonts w:ascii="仿宋_GB2312" w:cs="Times New Roman"/>
        </w:rPr>
      </w:pPr>
      <w:r>
        <w:rPr>
          <w:rFonts w:hint="eastAsia" w:ascii="仿宋_GB2312" w:cs="Times New Roman"/>
        </w:rPr>
        <w:t>质量选择阶段</w:t>
      </w:r>
    </w:p>
    <w:p>
      <w:pPr>
        <w:ind w:firstLine="640"/>
        <w:rPr>
          <w:rFonts w:ascii="仿宋_GB2312" w:cs="Times New Roman"/>
        </w:rPr>
      </w:pPr>
      <w:r>
        <w:rPr>
          <w:rFonts w:hint="eastAsia" w:ascii="仿宋_GB2312" w:cs="Times New Roman"/>
        </w:rPr>
        <w:t>指林木个体竞争关系转化为相互排斥为主，林木出现显著分化，树木高度差异显著阶段。</w:t>
      </w:r>
    </w:p>
    <w:p>
      <w:pPr>
        <w:ind w:firstLine="640"/>
        <w:rPr>
          <w:rFonts w:ascii="仿宋_GB2312" w:cs="Times New Roman"/>
        </w:rPr>
      </w:pPr>
      <w:r>
        <w:rPr>
          <w:rFonts w:hint="eastAsia" w:ascii="仿宋_GB2312" w:cs="Times New Roman"/>
        </w:rPr>
        <w:t>近自然结构阶段（可理解为目标树生长阶段）</w:t>
      </w:r>
    </w:p>
    <w:p>
      <w:pPr>
        <w:ind w:firstLine="640"/>
        <w:rPr>
          <w:rFonts w:ascii="仿宋_GB2312" w:cs="Times New Roman"/>
        </w:rPr>
      </w:pPr>
      <w:r>
        <w:rPr>
          <w:rFonts w:hint="eastAsia" w:ascii="仿宋_GB2312" w:cs="Times New Roman"/>
        </w:rPr>
        <w:t>指优势木（目标树）占据林冠的主林层并进入直径快速生长期阶段。</w:t>
      </w:r>
    </w:p>
    <w:p>
      <w:pPr>
        <w:ind w:firstLine="640"/>
        <w:rPr>
          <w:rFonts w:ascii="仿宋_GB2312" w:cs="Times New Roman"/>
        </w:rPr>
      </w:pPr>
      <w:r>
        <w:rPr>
          <w:rFonts w:hint="eastAsia" w:ascii="仿宋_GB2312" w:cs="Times New Roman"/>
        </w:rPr>
        <w:t>恒续林结构阶段（可理解为大径级林分蓄积生长阶段）</w:t>
      </w:r>
    </w:p>
    <w:p>
      <w:pPr>
        <w:ind w:firstLine="640"/>
        <w:rPr>
          <w:rFonts w:ascii="仿宋_GB2312" w:cs="Times New Roman"/>
        </w:rPr>
      </w:pPr>
      <w:r>
        <w:rPr>
          <w:rFonts w:hint="eastAsia" w:ascii="仿宋_GB2312" w:cs="Times New Roman"/>
        </w:rPr>
        <w:t>指树高差异变化表现出停止趋势，林分进入大径级树木生长阶段。</w:t>
      </w:r>
    </w:p>
    <w:p>
      <w:pPr>
        <w:ind w:firstLine="640"/>
        <w:rPr>
          <w:rFonts w:ascii="黑体" w:hAnsi="黑体" w:eastAsia="黑体" w:cs="Times New Roman"/>
          <w:bCs/>
          <w:szCs w:val="32"/>
        </w:rPr>
      </w:pPr>
      <w:r>
        <w:rPr>
          <w:rFonts w:hint="eastAsia" w:ascii="黑体" w:hAnsi="黑体" w:eastAsia="黑体" w:cs="Times New Roman"/>
          <w:bCs/>
          <w:szCs w:val="32"/>
        </w:rPr>
        <w:t>4培育原则</w:t>
      </w:r>
    </w:p>
    <w:p>
      <w:pPr>
        <w:ind w:firstLine="640"/>
        <w:rPr>
          <w:rFonts w:ascii="仿宋_GB2312" w:cs="Times New Roman"/>
        </w:rPr>
      </w:pPr>
      <w:r>
        <w:rPr>
          <w:rFonts w:hint="eastAsia" w:ascii="仿宋_GB2312" w:cs="Times New Roman"/>
        </w:rPr>
        <w:t>（1）坚持集中连片，规模化、基地化、标准化经营原则。</w:t>
      </w:r>
    </w:p>
    <w:p>
      <w:pPr>
        <w:ind w:firstLine="640"/>
        <w:rPr>
          <w:rFonts w:ascii="仿宋_GB2312" w:cs="Times New Roman"/>
        </w:rPr>
      </w:pPr>
      <w:r>
        <w:rPr>
          <w:rFonts w:hint="eastAsia" w:ascii="仿宋_GB2312" w:cs="Times New Roman"/>
        </w:rPr>
        <w:t>（2）坚持林木质量与林分生长量并重原则。</w:t>
      </w:r>
    </w:p>
    <w:p>
      <w:pPr>
        <w:ind w:firstLine="640"/>
        <w:rPr>
          <w:rFonts w:ascii="仿宋_GB2312" w:cs="Times New Roman"/>
        </w:rPr>
      </w:pPr>
      <w:r>
        <w:rPr>
          <w:rFonts w:hint="eastAsia" w:ascii="仿宋_GB2312" w:cs="Times New Roman"/>
        </w:rPr>
        <w:t>（3）坚持珍贵用材与一般大径材培育相结合原则。</w:t>
      </w:r>
    </w:p>
    <w:p>
      <w:pPr>
        <w:ind w:firstLine="640"/>
        <w:rPr>
          <w:rFonts w:ascii="仿宋_GB2312" w:cs="Times New Roman"/>
        </w:rPr>
      </w:pPr>
      <w:r>
        <w:rPr>
          <w:rFonts w:hint="eastAsia" w:ascii="仿宋_GB2312" w:cs="Times New Roman"/>
        </w:rPr>
        <w:t>（4）坚持木材生产与生态稳定性兼顾原则。</w:t>
      </w:r>
    </w:p>
    <w:p>
      <w:pPr>
        <w:ind w:firstLine="640"/>
        <w:rPr>
          <w:rFonts w:ascii="黑体" w:hAnsi="黑体" w:eastAsia="黑体" w:cs="Times New Roman"/>
          <w:bCs/>
          <w:szCs w:val="32"/>
        </w:rPr>
      </w:pPr>
      <w:r>
        <w:rPr>
          <w:rFonts w:hint="eastAsia" w:ascii="黑体" w:hAnsi="黑体" w:eastAsia="黑体" w:cs="Times New Roman"/>
          <w:bCs/>
          <w:szCs w:val="32"/>
        </w:rPr>
        <w:t>5培育对象</w:t>
      </w:r>
    </w:p>
    <w:p>
      <w:pPr>
        <w:ind w:firstLine="640"/>
        <w:rPr>
          <w:rFonts w:ascii="仿宋_GB2312" w:cs="Times New Roman"/>
        </w:rPr>
      </w:pPr>
      <w:r>
        <w:rPr>
          <w:rFonts w:hint="eastAsia" w:ascii="仿宋_GB2312" w:cs="Times New Roman"/>
        </w:rPr>
        <w:t>立地指数≥14或地位级中等以上（一般为中下坡、坡度</w:t>
      </w:r>
      <w:r>
        <w:rPr>
          <w:rFonts w:hint="eastAsia" w:ascii="仿宋_GB2312" w:hAnsi="仿宋_GB2312" w:cs="Times New Roman"/>
        </w:rPr>
        <w:t>&lt;</w:t>
      </w:r>
      <w:r>
        <w:rPr>
          <w:rFonts w:hint="eastAsia" w:ascii="仿宋_GB2312" w:cs="Times New Roman"/>
        </w:rPr>
        <w:t>35</w:t>
      </w:r>
      <w:r>
        <w:rPr>
          <w:rFonts w:hint="eastAsia" w:ascii="仿宋_GB2312" w:cs="Times New Roman"/>
          <w:vertAlign w:val="superscript"/>
        </w:rPr>
        <w:t>o</w:t>
      </w:r>
      <w:r>
        <w:rPr>
          <w:rFonts w:hint="eastAsia" w:ascii="仿宋_GB2312" w:cs="Times New Roman"/>
        </w:rPr>
        <w:t>，土层厚度≥60厘米），林分平均胸径≥14厘米的中龄林、近熟林（龄组划分依据《浙江省森林资源规划设计调查规程》（2014版））。</w:t>
      </w:r>
    </w:p>
    <w:p>
      <w:pPr>
        <w:ind w:firstLine="640"/>
        <w:rPr>
          <w:rFonts w:ascii="黑体" w:hAnsi="黑体" w:eastAsia="黑体" w:cs="Times New Roman"/>
          <w:bCs/>
          <w:szCs w:val="32"/>
        </w:rPr>
      </w:pPr>
      <w:r>
        <w:rPr>
          <w:rFonts w:hint="eastAsia" w:ascii="黑体" w:hAnsi="黑体" w:eastAsia="黑体" w:cs="Times New Roman"/>
          <w:bCs/>
          <w:szCs w:val="32"/>
        </w:rPr>
        <w:t xml:space="preserve">6作业区调查与设计 </w:t>
      </w:r>
    </w:p>
    <w:p>
      <w:pPr>
        <w:ind w:firstLine="640"/>
        <w:rPr>
          <w:rFonts w:ascii="楷体_GB2312" w:eastAsia="楷体_GB2312" w:cs="Times New Roman"/>
          <w:szCs w:val="32"/>
        </w:rPr>
      </w:pPr>
      <w:r>
        <w:rPr>
          <w:rFonts w:hint="eastAsia" w:ascii="楷体_GB2312" w:eastAsia="楷体_GB2312" w:cs="Times New Roman"/>
          <w:szCs w:val="32"/>
        </w:rPr>
        <w:t xml:space="preserve">6.1作业范围 </w:t>
      </w:r>
    </w:p>
    <w:p>
      <w:pPr>
        <w:ind w:firstLine="640"/>
        <w:rPr>
          <w:rFonts w:ascii="仿宋_GB2312" w:cs="Times New Roman"/>
          <w:szCs w:val="32"/>
        </w:rPr>
      </w:pPr>
      <w:r>
        <w:rPr>
          <w:rFonts w:hint="eastAsia" w:ascii="仿宋_GB2312" w:cs="Times New Roman"/>
        </w:rPr>
        <w:t>由经营单位根据生产需要确定作业范围为一个或多个林班、小班或整个林分类型。</w:t>
      </w:r>
      <w:r>
        <w:rPr>
          <w:rFonts w:hint="eastAsia" w:ascii="仿宋_GB2312" w:cs="Times New Roman"/>
          <w:szCs w:val="32"/>
        </w:rPr>
        <w:t xml:space="preserve"> </w:t>
      </w:r>
    </w:p>
    <w:p>
      <w:pPr>
        <w:ind w:firstLine="640"/>
        <w:rPr>
          <w:rFonts w:ascii="楷体_GB2312" w:eastAsia="楷体_GB2312" w:cs="Times New Roman"/>
          <w:szCs w:val="32"/>
        </w:rPr>
      </w:pPr>
      <w:r>
        <w:rPr>
          <w:rFonts w:hint="eastAsia" w:ascii="楷体_GB2312" w:eastAsia="楷体_GB2312" w:cs="Times New Roman"/>
          <w:szCs w:val="32"/>
        </w:rPr>
        <w:t xml:space="preserve">6.2作业设计样地调查 </w:t>
      </w:r>
    </w:p>
    <w:p>
      <w:pPr>
        <w:ind w:firstLine="640"/>
        <w:rPr>
          <w:rFonts w:ascii="仿宋_GB2312" w:cs="Times New Roman"/>
        </w:rPr>
      </w:pPr>
      <w:r>
        <w:rPr>
          <w:rFonts w:hint="eastAsia" w:ascii="仿宋_GB2312" w:cs="Times New Roman"/>
        </w:rPr>
        <w:t>（1）按GB/T15781执行。</w:t>
      </w:r>
    </w:p>
    <w:p>
      <w:pPr>
        <w:ind w:firstLine="640"/>
        <w:rPr>
          <w:rFonts w:ascii="仿宋_GB2312" w:cs="Times New Roman"/>
        </w:rPr>
      </w:pPr>
      <w:r>
        <w:rPr>
          <w:rFonts w:hint="eastAsia" w:ascii="仿宋_GB2312" w:cs="Times New Roman"/>
        </w:rPr>
        <w:t>（2）在每个林分类型内设置有重复的作业样地和对照样地，并作为经营效果监测固定观测样地保留。</w:t>
      </w:r>
    </w:p>
    <w:p>
      <w:pPr>
        <w:ind w:firstLine="640"/>
        <w:rPr>
          <w:rFonts w:ascii="楷体_GB2312" w:eastAsia="楷体_GB2312" w:cs="Times New Roman"/>
          <w:szCs w:val="32"/>
        </w:rPr>
      </w:pPr>
      <w:r>
        <w:rPr>
          <w:rFonts w:hint="eastAsia" w:ascii="楷体_GB2312" w:eastAsia="楷体_GB2312" w:cs="Times New Roman"/>
          <w:szCs w:val="32"/>
        </w:rPr>
        <w:t xml:space="preserve">6.3林木类型划分 </w:t>
      </w:r>
    </w:p>
    <w:p>
      <w:pPr>
        <w:ind w:firstLine="643"/>
        <w:rPr>
          <w:rFonts w:ascii="仿宋_GB2312" w:cs="Times New Roman"/>
          <w:b/>
          <w:szCs w:val="32"/>
        </w:rPr>
      </w:pPr>
      <w:r>
        <w:rPr>
          <w:rFonts w:hint="eastAsia" w:ascii="仿宋_GB2312" w:cs="Times New Roman"/>
          <w:b/>
          <w:szCs w:val="32"/>
        </w:rPr>
        <w:t>6.3.1林木优势等级</w:t>
      </w:r>
    </w:p>
    <w:p>
      <w:pPr>
        <w:ind w:firstLine="640"/>
        <w:rPr>
          <w:rFonts w:ascii="仿宋_GB2312" w:cs="Times New Roman"/>
          <w:szCs w:val="32"/>
        </w:rPr>
      </w:pPr>
      <w:r>
        <w:rPr>
          <w:rFonts w:hint="eastAsia" w:ascii="仿宋_GB2312" w:cs="Times New Roman"/>
          <w:szCs w:val="32"/>
        </w:rPr>
        <w:t xml:space="preserve">按照表1要求的标准对单木进行划分。 </w:t>
      </w:r>
    </w:p>
    <w:p>
      <w:pPr>
        <w:snapToGrid w:val="0"/>
        <w:spacing w:after="156" w:afterLines="50" w:line="520" w:lineRule="exact"/>
        <w:ind w:firstLine="0" w:firstLineChars="0"/>
        <w:jc w:val="center"/>
        <w:rPr>
          <w:rFonts w:ascii="方正小标宋简体" w:eastAsia="方正小标宋简体" w:cs="Times New Roman"/>
          <w:bCs/>
          <w:sz w:val="28"/>
          <w:szCs w:val="28"/>
        </w:rPr>
      </w:pPr>
      <w:r>
        <w:rPr>
          <w:rFonts w:hint="eastAsia" w:ascii="方正小标宋简体" w:eastAsia="方正小标宋简体" w:cs="Times New Roman"/>
          <w:bCs/>
          <w:sz w:val="28"/>
          <w:szCs w:val="28"/>
        </w:rPr>
        <w:t>表1 单木等级划分标准表</w:t>
      </w:r>
    </w:p>
    <w:tbl>
      <w:tblPr>
        <w:tblStyle w:val="14"/>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83"/>
        <w:gridCol w:w="1702"/>
        <w:gridCol w:w="1753"/>
        <w:gridCol w:w="1651"/>
        <w:gridCol w:w="1210"/>
        <w:gridCol w:w="1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tblHeader/>
        </w:trPr>
        <w:tc>
          <w:tcPr>
            <w:tcW w:w="1083" w:type="dxa"/>
            <w:tcMar>
              <w:top w:w="0" w:type="dxa"/>
              <w:left w:w="0" w:type="dxa"/>
              <w:bottom w:w="0" w:type="dxa"/>
              <w:right w:w="0" w:type="dxa"/>
            </w:tcMar>
          </w:tcPr>
          <w:p>
            <w:pPr>
              <w:adjustRightInd w:val="0"/>
              <w:snapToGrid w:val="0"/>
              <w:spacing w:line="240" w:lineRule="auto"/>
              <w:ind w:firstLine="0" w:firstLineChars="0"/>
              <w:jc w:val="center"/>
              <w:rPr>
                <w:rFonts w:ascii="Calibri" w:hAnsi="Calibri" w:cs="Times New Roman"/>
                <w:b/>
                <w:kern w:val="0"/>
                <w:sz w:val="24"/>
                <w:szCs w:val="24"/>
              </w:rPr>
            </w:pPr>
            <w:r>
              <w:rPr>
                <w:rFonts w:hint="eastAsia" w:ascii="Calibri" w:hAnsi="Calibri" w:cs="Times New Roman"/>
                <w:b/>
                <w:kern w:val="0"/>
                <w:sz w:val="24"/>
                <w:szCs w:val="24"/>
              </w:rPr>
              <w:t>指标</w:t>
            </w:r>
          </w:p>
          <w:p>
            <w:pPr>
              <w:adjustRightInd w:val="0"/>
              <w:snapToGrid w:val="0"/>
              <w:spacing w:line="240" w:lineRule="auto"/>
              <w:ind w:firstLine="0" w:firstLineChars="0"/>
              <w:jc w:val="center"/>
              <w:rPr>
                <w:rFonts w:ascii="Calibri" w:hAnsi="Calibri" w:cs="Times New Roman"/>
                <w:b/>
                <w:kern w:val="0"/>
                <w:sz w:val="24"/>
                <w:szCs w:val="24"/>
              </w:rPr>
            </w:pPr>
            <w:r>
              <w:rPr>
                <w:rFonts w:hint="eastAsia" w:ascii="Calibri" w:hAnsi="Calibri" w:cs="Times New Roman"/>
                <w:b/>
                <w:kern w:val="0"/>
                <w:sz w:val="24"/>
                <w:szCs w:val="24"/>
              </w:rPr>
              <w:t>等级</w:t>
            </w:r>
          </w:p>
        </w:tc>
        <w:tc>
          <w:tcPr>
            <w:tcW w:w="170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b/>
                <w:kern w:val="0"/>
                <w:sz w:val="24"/>
                <w:szCs w:val="24"/>
              </w:rPr>
            </w:pPr>
            <w:r>
              <w:rPr>
                <w:rFonts w:ascii="Calibri" w:hAnsi="Calibri" w:cs="Times New Roman"/>
                <w:b/>
                <w:kern w:val="0"/>
                <w:sz w:val="24"/>
                <w:szCs w:val="24"/>
              </w:rPr>
              <w:t>1</w:t>
            </w:r>
          </w:p>
        </w:tc>
        <w:tc>
          <w:tcPr>
            <w:tcW w:w="1753"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b/>
                <w:kern w:val="0"/>
                <w:sz w:val="24"/>
                <w:szCs w:val="24"/>
              </w:rPr>
            </w:pPr>
            <w:r>
              <w:rPr>
                <w:rFonts w:ascii="Calibri" w:hAnsi="Calibri" w:cs="Times New Roman"/>
                <w:b/>
                <w:kern w:val="0"/>
                <w:sz w:val="24"/>
                <w:szCs w:val="24"/>
              </w:rPr>
              <w:t>2</w:t>
            </w:r>
          </w:p>
        </w:tc>
        <w:tc>
          <w:tcPr>
            <w:tcW w:w="1651"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b/>
                <w:kern w:val="0"/>
                <w:sz w:val="24"/>
                <w:szCs w:val="24"/>
              </w:rPr>
            </w:pPr>
            <w:r>
              <w:rPr>
                <w:rFonts w:ascii="Calibri" w:hAnsi="Calibri" w:cs="Times New Roman"/>
                <w:b/>
                <w:kern w:val="0"/>
                <w:sz w:val="24"/>
                <w:szCs w:val="24"/>
              </w:rPr>
              <w:t>3</w:t>
            </w:r>
          </w:p>
        </w:tc>
        <w:tc>
          <w:tcPr>
            <w:tcW w:w="1210"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b/>
                <w:kern w:val="0"/>
                <w:sz w:val="24"/>
                <w:szCs w:val="24"/>
              </w:rPr>
            </w:pPr>
            <w:r>
              <w:rPr>
                <w:rFonts w:ascii="Calibri" w:hAnsi="Calibri" w:cs="Times New Roman"/>
                <w:b/>
                <w:kern w:val="0"/>
                <w:sz w:val="24"/>
                <w:szCs w:val="24"/>
              </w:rPr>
              <w:t>4</w:t>
            </w:r>
          </w:p>
        </w:tc>
        <w:tc>
          <w:tcPr>
            <w:tcW w:w="168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b/>
                <w:kern w:val="0"/>
                <w:sz w:val="24"/>
                <w:szCs w:val="24"/>
              </w:rPr>
            </w:pPr>
            <w:r>
              <w:rPr>
                <w:rFonts w:ascii="Calibri" w:hAnsi="Calibri" w:cs="Times New Roman"/>
                <w:b/>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083" w:type="dxa"/>
            <w:tcMar>
              <w:top w:w="0" w:type="dxa"/>
              <w:left w:w="0" w:type="dxa"/>
              <w:bottom w:w="0" w:type="dxa"/>
              <w:right w:w="0" w:type="dxa"/>
            </w:tcMar>
            <w:vAlign w:val="center"/>
          </w:tcPr>
          <w:p>
            <w:pPr>
              <w:adjustRightInd w:val="0"/>
              <w:snapToGrid w:val="0"/>
              <w:spacing w:line="240" w:lineRule="auto"/>
              <w:ind w:firstLine="0" w:firstLineChars="0"/>
              <w:jc w:val="center"/>
              <w:rPr>
                <w:rFonts w:ascii="Calibri" w:hAnsi="Calibri" w:cs="Times New Roman"/>
                <w:kern w:val="0"/>
                <w:sz w:val="24"/>
                <w:szCs w:val="24"/>
              </w:rPr>
            </w:pPr>
            <w:r>
              <w:rPr>
                <w:rFonts w:hint="eastAsia" w:ascii="Calibri" w:hAnsi="Calibri" w:cs="Times New Roman"/>
                <w:kern w:val="0"/>
                <w:sz w:val="24"/>
                <w:szCs w:val="24"/>
              </w:rPr>
              <w:t>生活力</w:t>
            </w:r>
          </w:p>
        </w:tc>
        <w:tc>
          <w:tcPr>
            <w:tcW w:w="170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有竞争活力的</w:t>
            </w:r>
          </w:p>
        </w:tc>
        <w:tc>
          <w:tcPr>
            <w:tcW w:w="1753"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有活力的</w:t>
            </w:r>
          </w:p>
        </w:tc>
        <w:tc>
          <w:tcPr>
            <w:tcW w:w="1651"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存活的</w:t>
            </w:r>
          </w:p>
        </w:tc>
        <w:tc>
          <w:tcPr>
            <w:tcW w:w="1210"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濒死的</w:t>
            </w:r>
          </w:p>
        </w:tc>
        <w:tc>
          <w:tcPr>
            <w:tcW w:w="168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濒死的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083" w:type="dxa"/>
            <w:tcMar>
              <w:top w:w="0" w:type="dxa"/>
              <w:left w:w="0" w:type="dxa"/>
              <w:bottom w:w="0" w:type="dxa"/>
              <w:right w:w="0" w:type="dxa"/>
            </w:tcMar>
            <w:vAlign w:val="center"/>
          </w:tcPr>
          <w:p>
            <w:pPr>
              <w:adjustRightInd w:val="0"/>
              <w:snapToGrid w:val="0"/>
              <w:spacing w:line="240" w:lineRule="auto"/>
              <w:ind w:firstLine="0" w:firstLineChars="0"/>
              <w:jc w:val="center"/>
              <w:rPr>
                <w:rFonts w:ascii="Calibri" w:hAnsi="Calibri" w:cs="Times New Roman"/>
                <w:kern w:val="0"/>
                <w:sz w:val="24"/>
                <w:szCs w:val="24"/>
              </w:rPr>
            </w:pPr>
            <w:r>
              <w:rPr>
                <w:rFonts w:hint="eastAsia" w:ascii="Calibri" w:hAnsi="Calibri" w:cs="Times New Roman"/>
                <w:kern w:val="0"/>
                <w:sz w:val="24"/>
                <w:szCs w:val="24"/>
              </w:rPr>
              <w:t>主干质量</w:t>
            </w:r>
          </w:p>
        </w:tc>
        <w:tc>
          <w:tcPr>
            <w:tcW w:w="170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优势层</w:t>
            </w:r>
          </w:p>
        </w:tc>
        <w:tc>
          <w:tcPr>
            <w:tcW w:w="1753"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亚优势层</w:t>
            </w:r>
          </w:p>
        </w:tc>
        <w:tc>
          <w:tcPr>
            <w:tcW w:w="1651"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中间层</w:t>
            </w:r>
          </w:p>
        </w:tc>
        <w:tc>
          <w:tcPr>
            <w:tcW w:w="1210"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被压层</w:t>
            </w:r>
          </w:p>
        </w:tc>
        <w:tc>
          <w:tcPr>
            <w:tcW w:w="168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林下层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083" w:type="dxa"/>
            <w:tcMar>
              <w:top w:w="0" w:type="dxa"/>
              <w:left w:w="0" w:type="dxa"/>
              <w:bottom w:w="0" w:type="dxa"/>
              <w:right w:w="0" w:type="dxa"/>
            </w:tcMar>
            <w:vAlign w:val="center"/>
          </w:tcPr>
          <w:p>
            <w:pPr>
              <w:adjustRightInd w:val="0"/>
              <w:snapToGrid w:val="0"/>
              <w:spacing w:line="240" w:lineRule="auto"/>
              <w:ind w:firstLine="0" w:firstLineChars="0"/>
              <w:jc w:val="center"/>
              <w:rPr>
                <w:rFonts w:ascii="Calibri" w:hAnsi="Calibri" w:cs="Times New Roman"/>
                <w:kern w:val="0"/>
                <w:sz w:val="24"/>
                <w:szCs w:val="24"/>
              </w:rPr>
            </w:pPr>
            <w:r>
              <w:rPr>
                <w:rFonts w:hint="eastAsia" w:ascii="Calibri" w:hAnsi="Calibri" w:cs="Times New Roman"/>
                <w:kern w:val="0"/>
                <w:sz w:val="24"/>
                <w:szCs w:val="24"/>
              </w:rPr>
              <w:t>分枝型</w:t>
            </w:r>
          </w:p>
        </w:tc>
        <w:tc>
          <w:tcPr>
            <w:tcW w:w="170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通直完满</w:t>
            </w:r>
          </w:p>
        </w:tc>
        <w:tc>
          <w:tcPr>
            <w:tcW w:w="1753"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局部轻度弯曲</w:t>
            </w:r>
          </w:p>
        </w:tc>
        <w:tc>
          <w:tcPr>
            <w:tcW w:w="1651"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多分枝</w:t>
            </w:r>
          </w:p>
        </w:tc>
        <w:tc>
          <w:tcPr>
            <w:tcW w:w="1210"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二分枝</w:t>
            </w:r>
          </w:p>
        </w:tc>
        <w:tc>
          <w:tcPr>
            <w:tcW w:w="168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显著弯曲或扭曲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083" w:type="dxa"/>
            <w:tcMar>
              <w:top w:w="0" w:type="dxa"/>
              <w:left w:w="0" w:type="dxa"/>
              <w:bottom w:w="0" w:type="dxa"/>
              <w:right w:w="0" w:type="dxa"/>
            </w:tcMar>
            <w:vAlign w:val="center"/>
          </w:tcPr>
          <w:p>
            <w:pPr>
              <w:adjustRightInd w:val="0"/>
              <w:snapToGrid w:val="0"/>
              <w:spacing w:line="240" w:lineRule="auto"/>
              <w:ind w:firstLine="0" w:firstLineChars="0"/>
              <w:jc w:val="center"/>
              <w:rPr>
                <w:rFonts w:ascii="Calibri" w:hAnsi="Calibri" w:cs="Times New Roman"/>
                <w:kern w:val="0"/>
                <w:sz w:val="24"/>
                <w:szCs w:val="24"/>
              </w:rPr>
            </w:pPr>
            <w:r>
              <w:rPr>
                <w:rFonts w:hint="eastAsia" w:ascii="Calibri" w:hAnsi="Calibri" w:cs="Times New Roman"/>
                <w:kern w:val="0"/>
                <w:sz w:val="24"/>
                <w:szCs w:val="24"/>
              </w:rPr>
              <w:t>主干损伤情况</w:t>
            </w:r>
          </w:p>
        </w:tc>
        <w:tc>
          <w:tcPr>
            <w:tcW w:w="170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无损伤</w:t>
            </w:r>
          </w:p>
        </w:tc>
        <w:tc>
          <w:tcPr>
            <w:tcW w:w="1753"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轻度损伤，但根部无损伤</w:t>
            </w:r>
          </w:p>
        </w:tc>
        <w:tc>
          <w:tcPr>
            <w:tcW w:w="1651"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中度损伤，但根部无损伤</w:t>
            </w:r>
          </w:p>
        </w:tc>
        <w:tc>
          <w:tcPr>
            <w:tcW w:w="1210"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中度损伤</w:t>
            </w:r>
          </w:p>
        </w:tc>
        <w:tc>
          <w:tcPr>
            <w:tcW w:w="168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重度损伤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083" w:type="dxa"/>
            <w:tcMar>
              <w:top w:w="0" w:type="dxa"/>
              <w:left w:w="0" w:type="dxa"/>
              <w:bottom w:w="0" w:type="dxa"/>
              <w:right w:w="0" w:type="dxa"/>
            </w:tcMar>
            <w:vAlign w:val="center"/>
          </w:tcPr>
          <w:p>
            <w:pPr>
              <w:adjustRightInd w:val="0"/>
              <w:snapToGrid w:val="0"/>
              <w:spacing w:line="240" w:lineRule="auto"/>
              <w:ind w:firstLine="0" w:firstLineChars="0"/>
              <w:jc w:val="center"/>
              <w:rPr>
                <w:rFonts w:ascii="Calibri" w:hAnsi="Calibri" w:cs="Times New Roman"/>
                <w:kern w:val="0"/>
                <w:sz w:val="24"/>
                <w:szCs w:val="24"/>
              </w:rPr>
            </w:pPr>
            <w:r>
              <w:rPr>
                <w:rFonts w:hint="eastAsia" w:ascii="Calibri" w:hAnsi="Calibri" w:cs="Times New Roman"/>
                <w:kern w:val="0"/>
                <w:sz w:val="24"/>
                <w:szCs w:val="24"/>
              </w:rPr>
              <w:t>树冠形状</w:t>
            </w:r>
          </w:p>
        </w:tc>
        <w:tc>
          <w:tcPr>
            <w:tcW w:w="170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树冠均匀饱满且冠高比</w:t>
            </w:r>
            <w:r>
              <w:rPr>
                <w:rFonts w:ascii="Calibri" w:hAnsi="Calibri" w:cs="Times New Roman"/>
                <w:kern w:val="0"/>
                <w:sz w:val="24"/>
                <w:szCs w:val="24"/>
              </w:rPr>
              <w:t>0.3~0.5</w:t>
            </w:r>
          </w:p>
        </w:tc>
        <w:tc>
          <w:tcPr>
            <w:tcW w:w="1753"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树冠均匀但冠高比</w:t>
            </w:r>
            <w:r>
              <w:rPr>
                <w:rFonts w:ascii="Calibri" w:hAnsi="Calibri" w:cs="Times New Roman"/>
                <w:kern w:val="0"/>
                <w:sz w:val="24"/>
                <w:szCs w:val="24"/>
              </w:rPr>
              <w:t>&lt;0.3</w:t>
            </w:r>
          </w:p>
        </w:tc>
        <w:tc>
          <w:tcPr>
            <w:tcW w:w="1651"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偏冠但冠高比≥</w:t>
            </w:r>
            <w:r>
              <w:rPr>
                <w:rFonts w:ascii="Calibri" w:hAnsi="Calibri" w:cs="Times New Roman"/>
                <w:kern w:val="0"/>
                <w:sz w:val="24"/>
                <w:szCs w:val="24"/>
              </w:rPr>
              <w:t>0.3~0.5</w:t>
            </w:r>
          </w:p>
        </w:tc>
        <w:tc>
          <w:tcPr>
            <w:tcW w:w="1210"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偏冠、冠高比</w:t>
            </w:r>
            <w:r>
              <w:rPr>
                <w:rFonts w:ascii="Calibri" w:hAnsi="Calibri" w:cs="Times New Roman"/>
                <w:kern w:val="0"/>
                <w:sz w:val="24"/>
                <w:szCs w:val="24"/>
              </w:rPr>
              <w:t>&lt;0.3</w:t>
            </w:r>
          </w:p>
        </w:tc>
        <w:tc>
          <w:tcPr>
            <w:tcW w:w="1682" w:type="dxa"/>
            <w:tcMar>
              <w:top w:w="0" w:type="dxa"/>
              <w:left w:w="0" w:type="dxa"/>
              <w:bottom w:w="0" w:type="dxa"/>
              <w:right w:w="0" w:type="dxa"/>
            </w:tcMar>
            <w:vAlign w:val="center"/>
          </w:tcPr>
          <w:p>
            <w:pPr>
              <w:adjustRightInd w:val="0"/>
              <w:snapToGrid w:val="0"/>
              <w:spacing w:line="240" w:lineRule="auto"/>
              <w:ind w:firstLine="0" w:firstLineChars="0"/>
              <w:jc w:val="center"/>
              <w:rPr>
                <w:rFonts w:ascii="Times New Roman" w:hAnsi="Times New Roman" w:cs="Times New Roman"/>
                <w:kern w:val="0"/>
                <w:sz w:val="24"/>
                <w:szCs w:val="24"/>
              </w:rPr>
            </w:pPr>
            <w:r>
              <w:rPr>
                <w:rFonts w:hint="eastAsia" w:ascii="Calibri" w:hAnsi="Calibri" w:cs="Times New Roman"/>
                <w:kern w:val="0"/>
                <w:sz w:val="24"/>
                <w:szCs w:val="24"/>
              </w:rPr>
              <w:t>严重偏冠或弱冠</w:t>
            </w:r>
          </w:p>
        </w:tc>
      </w:tr>
    </w:tbl>
    <w:p>
      <w:pPr>
        <w:snapToGrid w:val="0"/>
        <w:spacing w:line="360" w:lineRule="auto"/>
        <w:ind w:firstLine="420"/>
        <w:rPr>
          <w:rFonts w:cs="Times New Roman"/>
          <w:sz w:val="21"/>
          <w:szCs w:val="21"/>
        </w:rPr>
      </w:pPr>
      <w:r>
        <w:rPr>
          <w:rFonts w:hint="eastAsia" w:cs="Times New Roman"/>
          <w:sz w:val="21"/>
          <w:szCs w:val="21"/>
        </w:rPr>
        <w:t>注：冠高比指树冠长与树高的比值。</w:t>
      </w:r>
      <w:r>
        <w:rPr>
          <w:rFonts w:cs="Times New Roman"/>
          <w:sz w:val="21"/>
          <w:szCs w:val="21"/>
        </w:rPr>
        <w:t xml:space="preserve"> </w:t>
      </w:r>
    </w:p>
    <w:p>
      <w:pPr>
        <w:ind w:firstLine="643"/>
        <w:rPr>
          <w:rFonts w:ascii="仿宋_GB2312" w:cs="Times New Roman"/>
          <w:b/>
          <w:szCs w:val="32"/>
        </w:rPr>
      </w:pPr>
      <w:r>
        <w:rPr>
          <w:rFonts w:hint="eastAsia" w:ascii="仿宋_GB2312" w:cs="Times New Roman"/>
          <w:b/>
          <w:szCs w:val="32"/>
        </w:rPr>
        <w:t xml:space="preserve">6.3.2目标树选择 </w:t>
      </w:r>
    </w:p>
    <w:p>
      <w:pPr>
        <w:ind w:firstLine="640"/>
        <w:rPr>
          <w:rFonts w:ascii="仿宋_GB2312" w:cs="Times New Roman"/>
        </w:rPr>
      </w:pPr>
      <w:r>
        <w:rPr>
          <w:rFonts w:hint="eastAsia" w:ascii="仿宋_GB2312" w:cs="Times New Roman"/>
        </w:rPr>
        <w:t>目标树选择的核心指标包括优良的生活力、通直完满的干材和基部无损伤等三个方面。</w:t>
      </w:r>
    </w:p>
    <w:p>
      <w:pPr>
        <w:ind w:firstLine="640"/>
        <w:rPr>
          <w:rFonts w:ascii="仿宋_GB2312" w:cs="Times New Roman"/>
        </w:rPr>
      </w:pPr>
      <w:r>
        <w:rPr>
          <w:rFonts w:hint="eastAsia" w:ascii="仿宋_GB2312" w:cs="Times New Roman"/>
        </w:rPr>
        <w:t>（1）目标树首先必须是主林层或之上活力 1 级或 2 级的优势木，树冠均匀饱满，冠型一般有 1/4</w:t>
      </w:r>
      <w:r>
        <w:rPr>
          <w:rFonts w:cs="Times New Roman"/>
        </w:rPr>
        <w:t>~</w:t>
      </w:r>
      <w:r>
        <w:rPr>
          <w:rFonts w:hint="eastAsia" w:ascii="仿宋_GB2312" w:cs="Times New Roman"/>
        </w:rPr>
        <w:t xml:space="preserve">1/3冠高比；针叶树种树冠呈均匀饱满的倒锥形树冠且针叶油绿浓密，阔叶树种树冠应为冠形园满且枝叶繁茂。 </w:t>
      </w:r>
    </w:p>
    <w:p>
      <w:pPr>
        <w:ind w:firstLine="640"/>
        <w:rPr>
          <w:rFonts w:ascii="仿宋_GB2312" w:cs="Times New Roman"/>
        </w:rPr>
      </w:pPr>
      <w:r>
        <w:rPr>
          <w:rFonts w:hint="eastAsia" w:ascii="仿宋_GB2312" w:cs="Times New Roman"/>
        </w:rPr>
        <w:t xml:space="preserve">（2）目标树必须是干形通直完满的林木。如果整体林分质量不高，可选择局部轻度弯曲（无多叉杆或扭曲）或者分枝高度较高（在 8 米以上）且二分枝下部林木干形通直完满的二分枝林木。 </w:t>
      </w:r>
    </w:p>
    <w:p>
      <w:pPr>
        <w:ind w:firstLine="640"/>
        <w:rPr>
          <w:rFonts w:ascii="仿宋_GB2312" w:cs="Times New Roman"/>
        </w:rPr>
      </w:pPr>
      <w:r>
        <w:rPr>
          <w:rFonts w:hint="eastAsia" w:ascii="仿宋_GB2312" w:cs="Times New Roman"/>
        </w:rPr>
        <w:t xml:space="preserve">（3）目标树必须是根部无损伤和病虫害的林木。如果整体林分质量不高，可以选择干材有轻度损伤但根部无损伤的林木。 </w:t>
      </w:r>
    </w:p>
    <w:p>
      <w:pPr>
        <w:ind w:firstLine="640"/>
        <w:rPr>
          <w:rFonts w:ascii="仿宋_GB2312" w:cs="Times New Roman"/>
        </w:rPr>
      </w:pPr>
      <w:r>
        <w:rPr>
          <w:rFonts w:hint="eastAsia" w:ascii="仿宋_GB2312" w:cs="Times New Roman"/>
        </w:rPr>
        <w:t>（4）下一代目标树选择，视林分质量情况在当前目标树树冠的1倍</w:t>
      </w:r>
      <w:r>
        <w:rPr>
          <w:rFonts w:cs="Times New Roman"/>
        </w:rPr>
        <w:t>~</w:t>
      </w:r>
      <w:r>
        <w:rPr>
          <w:rFonts w:hint="eastAsia" w:ascii="仿宋_GB2312" w:cs="Times New Roman"/>
        </w:rPr>
        <w:t>2倍距离范围之外选择下一棵目标树，使目标树均匀地分布在林分中。</w:t>
      </w:r>
    </w:p>
    <w:p>
      <w:pPr>
        <w:ind w:firstLine="643"/>
        <w:rPr>
          <w:rFonts w:ascii="仿宋_GB2312" w:cs="Times New Roman"/>
          <w:b/>
          <w:szCs w:val="32"/>
        </w:rPr>
      </w:pPr>
      <w:r>
        <w:rPr>
          <w:rFonts w:hint="eastAsia" w:ascii="仿宋_GB2312" w:cs="Times New Roman"/>
          <w:b/>
          <w:szCs w:val="32"/>
        </w:rPr>
        <w:t xml:space="preserve">6.3.3干扰树确定 </w:t>
      </w:r>
    </w:p>
    <w:p>
      <w:pPr>
        <w:ind w:firstLine="640"/>
        <w:rPr>
          <w:rFonts w:ascii="仿宋_GB2312" w:cs="Times New Roman"/>
          <w:szCs w:val="32"/>
        </w:rPr>
      </w:pPr>
      <w:r>
        <w:rPr>
          <w:rFonts w:hint="eastAsia" w:ascii="仿宋_GB2312" w:cs="Times New Roman"/>
        </w:rPr>
        <w:t>树冠与目标树相接并直接影响目标树生长的、需要在近期内采伐利用林木。</w:t>
      </w:r>
      <w:r>
        <w:rPr>
          <w:rFonts w:hint="eastAsia" w:ascii="仿宋_GB2312" w:cs="Times New Roman"/>
          <w:szCs w:val="32"/>
        </w:rPr>
        <w:t xml:space="preserve"> </w:t>
      </w:r>
    </w:p>
    <w:p>
      <w:pPr>
        <w:ind w:firstLine="643"/>
        <w:rPr>
          <w:rFonts w:ascii="仿宋_GB2312" w:cs="Times New Roman"/>
          <w:b/>
          <w:szCs w:val="32"/>
        </w:rPr>
      </w:pPr>
      <w:r>
        <w:rPr>
          <w:rFonts w:hint="eastAsia" w:ascii="仿宋_GB2312" w:cs="Times New Roman"/>
          <w:b/>
          <w:szCs w:val="32"/>
        </w:rPr>
        <w:t>6.3.4辅助树选择</w:t>
      </w:r>
    </w:p>
    <w:p>
      <w:pPr>
        <w:ind w:firstLine="640"/>
        <w:rPr>
          <w:rFonts w:ascii="仿宋_GB2312" w:cs="Times New Roman"/>
        </w:rPr>
      </w:pPr>
      <w:r>
        <w:rPr>
          <w:rFonts w:hint="eastAsia" w:ascii="仿宋_GB2312" w:cs="Times New Roman"/>
        </w:rPr>
        <w:t xml:space="preserve">辅助树选择应有利于维护森林生态系统稳定和目标生长，主要包括： </w:t>
      </w:r>
    </w:p>
    <w:p>
      <w:pPr>
        <w:ind w:firstLine="640"/>
        <w:rPr>
          <w:rFonts w:ascii="仿宋_GB2312" w:cs="Times New Roman"/>
        </w:rPr>
      </w:pPr>
      <w:r>
        <w:rPr>
          <w:rFonts w:hint="eastAsia" w:ascii="仿宋_GB2312" w:cs="Times New Roman"/>
        </w:rPr>
        <w:t xml:space="preserve">（1）能为鸟类、蜂类或其他野生动物提供栖息场所的林木，以及能够维护地力的树种。 </w:t>
      </w:r>
    </w:p>
    <w:p>
      <w:pPr>
        <w:ind w:firstLine="640"/>
        <w:rPr>
          <w:rFonts w:ascii="仿宋_GB2312" w:cs="Times New Roman"/>
        </w:rPr>
      </w:pPr>
      <w:r>
        <w:rPr>
          <w:rFonts w:hint="eastAsia" w:ascii="仿宋_GB2312" w:cs="Times New Roman"/>
        </w:rPr>
        <w:t xml:space="preserve">（2）有保存价值的杉木古树、国家和地方发布的濒危树种名录中的林木和在当地属于稀有树种的林木。 </w:t>
      </w:r>
    </w:p>
    <w:p>
      <w:pPr>
        <w:ind w:firstLine="640"/>
        <w:rPr>
          <w:rFonts w:ascii="仿宋_GB2312" w:cs="Times New Roman"/>
          <w:szCs w:val="32"/>
        </w:rPr>
      </w:pPr>
      <w:r>
        <w:rPr>
          <w:rFonts w:hint="eastAsia" w:ascii="仿宋_GB2312" w:cs="Times New Roman"/>
        </w:rPr>
        <w:t>（3）对目标树的形质生长有正向促进作用，或对目标树生长无影响、但对维持林分合理结构或促进自然更新有益的</w:t>
      </w:r>
      <w:r>
        <w:rPr>
          <w:rFonts w:hint="eastAsia" w:ascii="仿宋_GB2312" w:cs="Times New Roman"/>
          <w:szCs w:val="32"/>
        </w:rPr>
        <w:t xml:space="preserve">林木。  </w:t>
      </w:r>
    </w:p>
    <w:p>
      <w:pPr>
        <w:ind w:firstLine="640"/>
        <w:rPr>
          <w:rFonts w:ascii="楷体_GB2312" w:eastAsia="楷体_GB2312" w:cs="Times New Roman"/>
          <w:szCs w:val="32"/>
        </w:rPr>
      </w:pPr>
      <w:r>
        <w:rPr>
          <w:rFonts w:hint="eastAsia" w:ascii="楷体_GB2312" w:eastAsia="楷体_GB2312" w:cs="Times New Roman"/>
          <w:szCs w:val="32"/>
        </w:rPr>
        <w:t xml:space="preserve">6.4采伐强度 </w:t>
      </w:r>
    </w:p>
    <w:p>
      <w:pPr>
        <w:ind w:firstLine="640"/>
        <w:rPr>
          <w:rFonts w:ascii="仿宋_GB2312" w:cs="Times New Roman"/>
        </w:rPr>
      </w:pPr>
      <w:r>
        <w:rPr>
          <w:rFonts w:hint="eastAsia" w:ascii="仿宋_GB2312" w:cs="Times New Roman"/>
        </w:rPr>
        <w:t>采伐强度应根据林分性质、发育阶段及阔叶树种生长状况确定。</w:t>
      </w:r>
    </w:p>
    <w:p>
      <w:pPr>
        <w:ind w:firstLine="640"/>
        <w:rPr>
          <w:rFonts w:ascii="仿宋_GB2312" w:cs="Times New Roman"/>
        </w:rPr>
      </w:pPr>
      <w:r>
        <w:rPr>
          <w:rFonts w:hint="eastAsia" w:ascii="仿宋_GB2312" w:cs="Times New Roman"/>
        </w:rPr>
        <w:t>（1）商品林伐后的林分郁闭度一般宜保持在0.5</w:t>
      </w:r>
      <w:r>
        <w:rPr>
          <w:rFonts w:cs="Times New Roman"/>
        </w:rPr>
        <w:t>~</w:t>
      </w:r>
      <w:r>
        <w:rPr>
          <w:rFonts w:hint="eastAsia" w:ascii="仿宋_GB2312" w:cs="Times New Roman"/>
        </w:rPr>
        <w:t>0.6。</w:t>
      </w:r>
    </w:p>
    <w:p>
      <w:pPr>
        <w:ind w:firstLine="640"/>
        <w:rPr>
          <w:rFonts w:ascii="仿宋_GB2312" w:cs="Times New Roman"/>
        </w:rPr>
      </w:pPr>
      <w:r>
        <w:rPr>
          <w:rFonts w:hint="eastAsia" w:ascii="仿宋_GB2312" w:cs="Times New Roman"/>
        </w:rPr>
        <w:t xml:space="preserve">（2）公益林采伐按DB33/T 2143执行。 </w:t>
      </w:r>
    </w:p>
    <w:p>
      <w:pPr>
        <w:ind w:firstLine="640"/>
        <w:rPr>
          <w:rFonts w:ascii="仿宋_GB2312" w:cs="Times New Roman"/>
        </w:rPr>
      </w:pPr>
      <w:r>
        <w:rPr>
          <w:rFonts w:hint="eastAsia" w:ascii="仿宋_GB2312" w:cs="Times New Roman"/>
        </w:rPr>
        <w:t xml:space="preserve">（3）目标树密度按表2中的规定执行。在第三发育阶段及以后的林分内，以保持目标树的自由树冠（目标树的树冠与周边林木不再发生明显的竞争性接触）和有利于更新阔叶树种生长为原则采伐干扰树并调控林分密度。 </w:t>
      </w:r>
    </w:p>
    <w:p>
      <w:pPr>
        <w:ind w:firstLine="643"/>
        <w:rPr>
          <w:rFonts w:ascii="仿宋_GB2312" w:cs="Times New Roman"/>
          <w:b/>
          <w:bCs/>
          <w:szCs w:val="32"/>
        </w:rPr>
      </w:pPr>
      <w:r>
        <w:rPr>
          <w:rFonts w:hint="eastAsia" w:ascii="仿宋_GB2312" w:cs="Times New Roman"/>
          <w:b/>
          <w:bCs/>
          <w:szCs w:val="32"/>
        </w:rPr>
        <w:t xml:space="preserve">7作业法 </w:t>
      </w:r>
    </w:p>
    <w:p>
      <w:pPr>
        <w:ind w:firstLine="640"/>
        <w:rPr>
          <w:rFonts w:ascii="仿宋_GB2312" w:cs="Times New Roman"/>
          <w:szCs w:val="32"/>
        </w:rPr>
      </w:pPr>
      <w:r>
        <w:rPr>
          <w:rFonts w:hint="eastAsia" w:ascii="仿宋_GB2312" w:cs="Times New Roman"/>
          <w:szCs w:val="32"/>
        </w:rPr>
        <w:t>经营目标：</w:t>
      </w:r>
    </w:p>
    <w:p>
      <w:pPr>
        <w:ind w:firstLine="640"/>
        <w:rPr>
          <w:rFonts w:ascii="仿宋_GB2312" w:cs="Times New Roman"/>
        </w:rPr>
      </w:pPr>
      <w:r>
        <w:rPr>
          <w:rFonts w:hint="eastAsia" w:ascii="仿宋_GB2312" w:cs="Times New Roman"/>
        </w:rPr>
        <w:t>（1）较好立地条件下（立地指数≥16）杉木、枫香等树种目标胸径应≥50 厘米；</w:t>
      </w:r>
    </w:p>
    <w:p>
      <w:pPr>
        <w:ind w:firstLine="640"/>
        <w:rPr>
          <w:rFonts w:ascii="仿宋_GB2312" w:cs="Times New Roman"/>
        </w:rPr>
      </w:pPr>
      <w:r>
        <w:rPr>
          <w:rFonts w:hint="eastAsia" w:ascii="仿宋_GB2312" w:cs="Times New Roman"/>
        </w:rPr>
        <w:t>（2）一般立地条件下（立地指数14</w:t>
      </w:r>
      <w:r>
        <w:rPr>
          <w:rFonts w:cs="Times New Roman"/>
        </w:rPr>
        <w:t>~</w:t>
      </w:r>
      <w:r>
        <w:rPr>
          <w:rFonts w:hint="eastAsia" w:ascii="仿宋_GB2312" w:cs="Times New Roman"/>
        </w:rPr>
        <w:t>16）杉木、枫香等树种目标胸径应≥26 厘米。</w:t>
      </w:r>
    </w:p>
    <w:p>
      <w:pPr>
        <w:ind w:firstLine="643"/>
        <w:rPr>
          <w:rFonts w:ascii="仿宋_GB2312" w:cs="Times New Roman"/>
          <w:b/>
          <w:bCs/>
          <w:szCs w:val="32"/>
        </w:rPr>
      </w:pPr>
      <w:r>
        <w:rPr>
          <w:rFonts w:hint="eastAsia" w:ascii="仿宋_GB2312" w:cs="Times New Roman"/>
          <w:b/>
          <w:bCs/>
          <w:szCs w:val="32"/>
        </w:rPr>
        <w:t xml:space="preserve">8作业施工 </w:t>
      </w:r>
    </w:p>
    <w:p>
      <w:pPr>
        <w:ind w:firstLine="640"/>
        <w:rPr>
          <w:rFonts w:ascii="楷体_GB2312" w:eastAsia="楷体_GB2312" w:cs="Times New Roman"/>
          <w:szCs w:val="32"/>
        </w:rPr>
      </w:pPr>
      <w:r>
        <w:rPr>
          <w:rFonts w:hint="eastAsia" w:ascii="楷体_GB2312" w:eastAsia="楷体_GB2312" w:cs="Times New Roman"/>
          <w:szCs w:val="32"/>
        </w:rPr>
        <w:t xml:space="preserve">8.1林木标记 </w:t>
      </w:r>
    </w:p>
    <w:p>
      <w:pPr>
        <w:ind w:firstLine="640"/>
        <w:rPr>
          <w:rFonts w:ascii="仿宋_GB2312" w:cs="Times New Roman"/>
        </w:rPr>
      </w:pPr>
      <w:r>
        <w:rPr>
          <w:rFonts w:hint="eastAsia" w:ascii="仿宋_GB2312" w:cs="Times New Roman"/>
        </w:rPr>
        <w:t xml:space="preserve">目标树标记Z，辅助树标记为S，干扰树标记为B，一般林木不做标记。一般用油漆在树木胸径上方两侧标记目标树、辅助树和干扰树，现场作业施工中对样地中同时记录目标树、干扰树的编号和胸径。 </w:t>
      </w:r>
    </w:p>
    <w:p>
      <w:pPr>
        <w:ind w:firstLine="640"/>
        <w:rPr>
          <w:rFonts w:ascii="楷体_GB2312" w:eastAsia="楷体_GB2312" w:cs="Times New Roman"/>
          <w:szCs w:val="32"/>
        </w:rPr>
      </w:pPr>
      <w:r>
        <w:rPr>
          <w:rFonts w:hint="eastAsia" w:ascii="楷体_GB2312" w:eastAsia="楷体_GB2312" w:cs="Times New Roman"/>
          <w:szCs w:val="32"/>
        </w:rPr>
        <w:t>8.2林木采伐</w:t>
      </w:r>
    </w:p>
    <w:p>
      <w:pPr>
        <w:ind w:firstLine="643"/>
        <w:rPr>
          <w:rFonts w:ascii="仿宋_GB2312" w:cs="Times New Roman"/>
          <w:b/>
          <w:szCs w:val="32"/>
        </w:rPr>
      </w:pPr>
      <w:r>
        <w:rPr>
          <w:rFonts w:hint="eastAsia" w:ascii="仿宋_GB2312" w:cs="Times New Roman"/>
          <w:b/>
          <w:szCs w:val="32"/>
        </w:rPr>
        <w:t>8.2.1干扰树</w:t>
      </w:r>
    </w:p>
    <w:p>
      <w:pPr>
        <w:ind w:firstLine="640"/>
        <w:rPr>
          <w:rFonts w:ascii="仿宋_GB2312" w:cs="Times New Roman"/>
        </w:rPr>
      </w:pPr>
      <w:r>
        <w:rPr>
          <w:rFonts w:hint="eastAsia" w:ascii="仿宋_GB2312" w:cs="Times New Roman"/>
        </w:rPr>
        <w:t>伐前对采伐木需进一步确认标记，标记好后统一采伐。</w:t>
      </w:r>
    </w:p>
    <w:p>
      <w:pPr>
        <w:ind w:firstLine="643"/>
        <w:rPr>
          <w:rFonts w:ascii="仿宋_GB2312" w:cs="Times New Roman"/>
          <w:b/>
          <w:szCs w:val="32"/>
        </w:rPr>
      </w:pPr>
      <w:r>
        <w:rPr>
          <w:rFonts w:hint="eastAsia" w:ascii="仿宋_GB2312" w:cs="Times New Roman"/>
          <w:b/>
          <w:szCs w:val="32"/>
        </w:rPr>
        <w:t>8.2.2一般林木</w:t>
      </w:r>
    </w:p>
    <w:p>
      <w:pPr>
        <w:ind w:firstLine="640"/>
        <w:rPr>
          <w:rFonts w:ascii="仿宋_GB2312" w:cs="Times New Roman"/>
        </w:rPr>
      </w:pPr>
      <w:r>
        <w:rPr>
          <w:rFonts w:hint="eastAsia" w:ascii="仿宋_GB2312" w:cs="Times New Roman"/>
        </w:rPr>
        <w:t>采伐生长势弱且影响补植活动或阔叶幼树的林木；对处于目标树的树冠下方的林木，若对目标树不构成威胁，且无经济利用价值，一般保留其自然生长。</w:t>
      </w:r>
    </w:p>
    <w:p>
      <w:pPr>
        <w:ind w:firstLine="643"/>
        <w:rPr>
          <w:rFonts w:ascii="仿宋_GB2312" w:cs="Times New Roman"/>
          <w:b/>
          <w:szCs w:val="32"/>
        </w:rPr>
      </w:pPr>
      <w:r>
        <w:rPr>
          <w:rFonts w:hint="eastAsia" w:ascii="仿宋_GB2312" w:cs="Times New Roman"/>
          <w:b/>
          <w:szCs w:val="32"/>
        </w:rPr>
        <w:t xml:space="preserve">8.2.3采伐方式 </w:t>
      </w:r>
    </w:p>
    <w:p>
      <w:pPr>
        <w:ind w:firstLine="640"/>
        <w:rPr>
          <w:rFonts w:ascii="仿宋_GB2312" w:cs="Times New Roman"/>
        </w:rPr>
      </w:pPr>
      <w:r>
        <w:rPr>
          <w:rFonts w:hint="eastAsia" w:ascii="仿宋_GB2312" w:cs="Times New Roman"/>
        </w:rPr>
        <w:t>采伐方式和倒向应有利于保护其他林木和幼树。伐桩不高于地面10 厘米，采伐木倒下时避开目标树和有前途的林下更新幼树，尽可能横山倒向，避免仰山或顺山。</w:t>
      </w:r>
    </w:p>
    <w:p>
      <w:pPr>
        <w:ind w:firstLine="640"/>
        <w:rPr>
          <w:rFonts w:ascii="楷体_GB2312" w:eastAsia="楷体_GB2312" w:cs="Times New Roman"/>
          <w:szCs w:val="32"/>
        </w:rPr>
      </w:pPr>
      <w:r>
        <w:rPr>
          <w:rFonts w:hint="eastAsia" w:ascii="楷体_GB2312" w:eastAsia="楷体_GB2312" w:cs="Times New Roman"/>
          <w:szCs w:val="32"/>
        </w:rPr>
        <w:t>8.3修枝</w:t>
      </w:r>
    </w:p>
    <w:p>
      <w:pPr>
        <w:ind w:firstLine="640"/>
        <w:rPr>
          <w:rFonts w:ascii="仿宋_GB2312" w:cs="Times New Roman"/>
        </w:rPr>
      </w:pPr>
      <w:r>
        <w:rPr>
          <w:rFonts w:hint="eastAsia" w:ascii="仿宋_GB2312" w:cs="Times New Roman"/>
        </w:rPr>
        <w:t>修去枯死枝和树冠下部1轮～2轮活枝。竞争生长阶段修枝后保留冠长不低于树高的2/3、质量选择阶段修枝后保留冠长不低于树高的1/2，枝桩尽量修平，剪口不能伤害树干的韧皮部和木质部。</w:t>
      </w:r>
    </w:p>
    <w:p>
      <w:pPr>
        <w:ind w:firstLine="640"/>
        <w:rPr>
          <w:rFonts w:ascii="楷体_GB2312" w:eastAsia="楷体_GB2312" w:cs="Times New Roman"/>
          <w:szCs w:val="32"/>
        </w:rPr>
      </w:pPr>
      <w:r>
        <w:rPr>
          <w:rFonts w:hint="eastAsia" w:ascii="楷体_GB2312" w:eastAsia="楷体_GB2312" w:cs="Times New Roman"/>
          <w:szCs w:val="32"/>
        </w:rPr>
        <w:t>8.4施肥</w:t>
      </w:r>
    </w:p>
    <w:p>
      <w:pPr>
        <w:ind w:firstLine="640"/>
        <w:rPr>
          <w:rFonts w:ascii="仿宋_GB2312" w:cs="Times New Roman"/>
        </w:rPr>
      </w:pPr>
      <w:r>
        <w:rPr>
          <w:rFonts w:hint="eastAsia" w:ascii="仿宋_GB2312" w:cs="Times New Roman"/>
        </w:rPr>
        <w:t>间伐抚育当年冬季（或次年春季）施追肥1次，竞争生长阶段施复合肥500g/株、质量选择阶段施复合肥1kg/株。</w:t>
      </w:r>
    </w:p>
    <w:p>
      <w:pPr>
        <w:ind w:firstLine="640"/>
        <w:rPr>
          <w:rFonts w:ascii="楷体_GB2312" w:eastAsia="楷体_GB2312" w:cs="Times New Roman"/>
          <w:bCs/>
          <w:szCs w:val="32"/>
        </w:rPr>
      </w:pPr>
      <w:r>
        <w:rPr>
          <w:rFonts w:hint="eastAsia" w:ascii="楷体_GB2312" w:eastAsia="楷体_GB2312" w:cs="Times New Roman"/>
          <w:bCs/>
          <w:szCs w:val="32"/>
        </w:rPr>
        <w:t>8.5补植</w:t>
      </w:r>
    </w:p>
    <w:p>
      <w:pPr>
        <w:ind w:firstLine="640"/>
        <w:rPr>
          <w:rFonts w:ascii="仿宋_GB2312" w:cs="Times New Roman"/>
        </w:rPr>
      </w:pPr>
      <w:r>
        <w:rPr>
          <w:rFonts w:hint="eastAsia" w:ascii="仿宋_GB2312" w:cs="Times New Roman"/>
        </w:rPr>
        <w:t>参照《浙江省珍贵树种培育模式技术规范》执行。</w:t>
      </w:r>
    </w:p>
    <w:p>
      <w:pPr>
        <w:ind w:firstLine="640"/>
        <w:rPr>
          <w:rFonts w:ascii="黑体" w:hAnsi="黑体" w:eastAsia="黑体" w:cs="Times New Roman"/>
          <w:bCs/>
          <w:szCs w:val="32"/>
        </w:rPr>
      </w:pPr>
      <w:r>
        <w:rPr>
          <w:rFonts w:hint="eastAsia" w:ascii="黑体" w:hAnsi="黑体" w:eastAsia="黑体" w:cs="Times New Roman"/>
          <w:bCs/>
          <w:szCs w:val="32"/>
        </w:rPr>
        <w:t xml:space="preserve">9控制指标 </w:t>
      </w:r>
    </w:p>
    <w:p>
      <w:pPr>
        <w:ind w:firstLine="640"/>
        <w:rPr>
          <w:rFonts w:ascii="仿宋_GB2312" w:cs="Times New Roman"/>
        </w:rPr>
      </w:pPr>
      <w:r>
        <w:rPr>
          <w:rFonts w:hint="eastAsia" w:ascii="仿宋_GB2312" w:cs="Times New Roman"/>
        </w:rPr>
        <w:t>（1）1级林木数量≥50%；</w:t>
      </w:r>
    </w:p>
    <w:p>
      <w:pPr>
        <w:ind w:firstLine="640"/>
        <w:rPr>
          <w:rFonts w:ascii="仿宋_GB2312" w:cs="Times New Roman"/>
        </w:rPr>
      </w:pPr>
      <w:r>
        <w:rPr>
          <w:rFonts w:hint="eastAsia" w:ascii="仿宋_GB2312" w:cs="Times New Roman"/>
        </w:rPr>
        <w:t>（2）抚育后林分径级差≤6个（霸王树除外），径级提高1级以上，郁闭度≤0.7；</w:t>
      </w:r>
    </w:p>
    <w:p>
      <w:pPr>
        <w:ind w:firstLine="640"/>
        <w:rPr>
          <w:rFonts w:ascii="仿宋_GB2312" w:cs="Times New Roman"/>
        </w:rPr>
      </w:pPr>
      <w:r>
        <w:rPr>
          <w:rFonts w:hint="eastAsia" w:ascii="仿宋_GB2312" w:cs="Times New Roman"/>
        </w:rPr>
        <w:t>（3）大径材林下补植珍贵树种数量≥30株/亩，主林层郁闭度≤0.6。</w:t>
      </w:r>
    </w:p>
    <w:p>
      <w:pPr>
        <w:ind w:firstLine="640"/>
        <w:rPr>
          <w:rFonts w:ascii="仿宋_GB2312" w:cs="Times New Roman"/>
        </w:rPr>
      </w:pPr>
      <w:r>
        <w:rPr>
          <w:rFonts w:hint="eastAsia" w:ascii="仿宋_GB2312" w:cs="Times New Roman"/>
        </w:rPr>
        <w:t>（4）各个发育阶段的控制指标按表2执行。</w:t>
      </w:r>
    </w:p>
    <w:p>
      <w:pPr>
        <w:pStyle w:val="30"/>
        <w:numPr>
          <w:ilvl w:val="1"/>
          <w:numId w:val="0"/>
        </w:numPr>
        <w:wordWrap/>
        <w:snapToGrid w:val="0"/>
        <w:spacing w:beforeLines="0" w:after="156" w:afterLines="50" w:line="520" w:lineRule="exact"/>
        <w:jc w:val="center"/>
        <w:outlineLvl w:val="9"/>
        <w:rPr>
          <w:rFonts w:ascii="方正小标宋简体" w:eastAsia="方正小标宋简体"/>
          <w:sz w:val="28"/>
          <w:szCs w:val="28"/>
        </w:rPr>
      </w:pPr>
      <w:bookmarkStart w:id="17" w:name="_Toc72481256"/>
      <w:r>
        <w:rPr>
          <w:rFonts w:hint="eastAsia" w:ascii="方正小标宋简体" w:eastAsia="方正小标宋简体"/>
          <w:sz w:val="28"/>
          <w:szCs w:val="28"/>
        </w:rPr>
        <w:t>表2浙江省主要树种大径材林分密度、目标树数量指标</w:t>
      </w:r>
    </w:p>
    <w:p>
      <w:pPr>
        <w:pStyle w:val="30"/>
        <w:numPr>
          <w:ilvl w:val="1"/>
          <w:numId w:val="0"/>
        </w:numPr>
        <w:wordWrap/>
        <w:snapToGrid w:val="0"/>
        <w:spacing w:beforeLines="0" w:afterLines="0" w:line="520" w:lineRule="exact"/>
        <w:ind w:firstLine="7700" w:firstLineChars="2750"/>
        <w:outlineLvl w:val="9"/>
        <w:rPr>
          <w:rFonts w:ascii="Times New Roman" w:eastAsia="仿宋_GB2312"/>
          <w:sz w:val="28"/>
          <w:szCs w:val="28"/>
        </w:rPr>
      </w:pPr>
      <w:r>
        <w:rPr>
          <w:rFonts w:hint="eastAsia" w:ascii="Times New Roman" w:eastAsia="仿宋_GB2312"/>
          <w:sz w:val="28"/>
          <w:szCs w:val="28"/>
        </w:rPr>
        <w:t>株</w:t>
      </w:r>
      <w:r>
        <w:rPr>
          <w:rFonts w:ascii="Times New Roman" w:eastAsia="仿宋_GB2312"/>
          <w:sz w:val="28"/>
          <w:szCs w:val="28"/>
        </w:rPr>
        <w:t>/</w:t>
      </w:r>
      <w:r>
        <w:rPr>
          <w:rFonts w:hint="eastAsia" w:ascii="Times New Roman" w:eastAsia="仿宋_GB2312"/>
          <w:sz w:val="28"/>
          <w:szCs w:val="28"/>
        </w:rPr>
        <w:t>亩，</w:t>
      </w:r>
      <w:bookmarkEnd w:id="17"/>
      <w:r>
        <w:rPr>
          <w:rFonts w:hint="eastAsia" w:ascii="Times New Roman" w:eastAsia="仿宋_GB2312"/>
          <w:sz w:val="28"/>
          <w:szCs w:val="28"/>
        </w:rPr>
        <w:t>米</w:t>
      </w:r>
    </w:p>
    <w:tbl>
      <w:tblPr>
        <w:tblStyle w:val="13"/>
        <w:tblW w:w="9228"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03"/>
        <w:gridCol w:w="1526"/>
        <w:gridCol w:w="1585"/>
        <w:gridCol w:w="1737"/>
        <w:gridCol w:w="2002"/>
        <w:gridCol w:w="1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blHeader/>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
                <w:color w:val="000000"/>
                <w:sz w:val="24"/>
                <w:szCs w:val="24"/>
              </w:rPr>
            </w:pPr>
            <w:r>
              <w:rPr>
                <w:rFonts w:hint="eastAsia" w:cs="Times New Roman"/>
                <w:b/>
                <w:color w:val="000000"/>
                <w:kern w:val="0"/>
                <w:sz w:val="24"/>
                <w:szCs w:val="24"/>
                <w:lang w:bidi="ar"/>
              </w:rPr>
              <w:t>序号</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
                <w:color w:val="000000"/>
                <w:sz w:val="24"/>
                <w:szCs w:val="24"/>
              </w:rPr>
            </w:pPr>
            <w:r>
              <w:rPr>
                <w:rFonts w:hint="eastAsia" w:cs="Times New Roman"/>
                <w:b/>
                <w:color w:val="000000"/>
                <w:kern w:val="0"/>
                <w:sz w:val="24"/>
                <w:szCs w:val="24"/>
                <w:lang w:bidi="ar"/>
              </w:rPr>
              <w:t>森林类型</w:t>
            </w:r>
          </w:p>
        </w:tc>
        <w:tc>
          <w:tcPr>
            <w:tcW w:w="1585"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
                <w:color w:val="000000"/>
                <w:kern w:val="0"/>
                <w:sz w:val="24"/>
                <w:szCs w:val="24"/>
                <w:lang w:bidi="ar"/>
              </w:rPr>
            </w:pPr>
            <w:r>
              <w:rPr>
                <w:rFonts w:hint="eastAsia" w:cs="Times New Roman"/>
                <w:b/>
                <w:color w:val="000000"/>
                <w:kern w:val="0"/>
                <w:sz w:val="24"/>
                <w:szCs w:val="24"/>
                <w:lang w:bidi="ar"/>
              </w:rPr>
              <w:t>指标特征</w:t>
            </w:r>
          </w:p>
          <w:p>
            <w:pPr>
              <w:widowControl/>
              <w:adjustRightInd w:val="0"/>
              <w:snapToGrid w:val="0"/>
              <w:spacing w:line="240" w:lineRule="auto"/>
              <w:ind w:firstLine="0" w:firstLineChars="0"/>
              <w:jc w:val="center"/>
              <w:textAlignment w:val="center"/>
              <w:rPr>
                <w:rFonts w:cs="Times New Roman"/>
                <w:b/>
                <w:color w:val="000000"/>
                <w:sz w:val="24"/>
                <w:szCs w:val="24"/>
              </w:rPr>
            </w:pPr>
            <w:r>
              <w:rPr>
                <w:rFonts w:hint="eastAsia" w:cs="Times New Roman"/>
                <w:b/>
                <w:color w:val="000000"/>
                <w:kern w:val="0"/>
                <w:sz w:val="24"/>
                <w:szCs w:val="24"/>
                <w:lang w:bidi="ar"/>
              </w:rPr>
              <w:t>（主林层）</w:t>
            </w:r>
          </w:p>
        </w:tc>
        <w:tc>
          <w:tcPr>
            <w:tcW w:w="5514" w:type="dxa"/>
            <w:gridSpan w:val="3"/>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
                <w:color w:val="000000"/>
                <w:kern w:val="0"/>
                <w:sz w:val="24"/>
                <w:szCs w:val="24"/>
                <w:lang w:bidi="ar"/>
              </w:rPr>
            </w:pPr>
            <w:r>
              <w:rPr>
                <w:rFonts w:hint="eastAsia" w:cs="Times New Roman"/>
                <w:b/>
                <w:color w:val="000000"/>
                <w:kern w:val="0"/>
                <w:sz w:val="24"/>
                <w:szCs w:val="24"/>
                <w:lang w:bidi="ar"/>
              </w:rPr>
              <w:t>发育阶段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blHeader/>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
                <w:color w:val="000000"/>
                <w:sz w:val="24"/>
                <w:szCs w:val="24"/>
              </w:rPr>
            </w:pPr>
          </w:p>
        </w:tc>
        <w:tc>
          <w:tcPr>
            <w:tcW w:w="1585"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
                <w:color w:val="000000"/>
                <w:sz w:val="24"/>
                <w:szCs w:val="24"/>
              </w:rPr>
            </w:pP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
                <w:color w:val="000000"/>
                <w:sz w:val="24"/>
                <w:szCs w:val="24"/>
              </w:rPr>
            </w:pPr>
            <w:r>
              <w:rPr>
                <w:rFonts w:hint="eastAsia" w:cs="Times New Roman"/>
                <w:b/>
                <w:color w:val="000000"/>
                <w:kern w:val="0"/>
                <w:sz w:val="24"/>
                <w:szCs w:val="24"/>
                <w:lang w:bidi="ar"/>
              </w:rPr>
              <w:t>质量选择阶段</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
                <w:color w:val="000000"/>
                <w:sz w:val="24"/>
                <w:szCs w:val="24"/>
              </w:rPr>
            </w:pPr>
            <w:r>
              <w:rPr>
                <w:rFonts w:hint="eastAsia" w:cs="Times New Roman"/>
                <w:b/>
                <w:color w:val="000000"/>
                <w:kern w:val="0"/>
                <w:sz w:val="24"/>
                <w:szCs w:val="24"/>
                <w:lang w:bidi="ar"/>
              </w:rPr>
              <w:t>近自然结构阶段</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
                <w:color w:val="000000"/>
                <w:sz w:val="24"/>
                <w:szCs w:val="24"/>
              </w:rPr>
            </w:pPr>
            <w:r>
              <w:rPr>
                <w:rFonts w:hint="eastAsia" w:cs="Times New Roman"/>
                <w:b/>
                <w:color w:val="000000"/>
                <w:kern w:val="0"/>
                <w:sz w:val="24"/>
                <w:szCs w:val="24"/>
                <w:lang w:bidi="ar"/>
              </w:rPr>
              <w:t>恒续林结构阶段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杉木人工林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12</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15-22</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60-100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65-80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2</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柏木人工林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10-12</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10-16</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16-20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2"/>
                <w:rFonts w:hint="default" w:ascii="Times New Roman" w:hAnsi="Times New Roman" w:eastAsia="仿宋_GB2312" w:cs="Times New Roman"/>
                <w:sz w:val="24"/>
                <w:szCs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60-80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40-75</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3</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黄山松人工林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8-12</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2"/>
                <w:rFonts w:hint="default" w:ascii="Times New Roman" w:hAnsi="Times New Roman" w:eastAsia="仿宋_GB2312" w:cs="Times New Roman"/>
                <w:sz w:val="24"/>
                <w:szCs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100-133</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60-70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4</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湿地松</w:t>
            </w:r>
            <w:r>
              <w:rPr>
                <w:rFonts w:cs="Times New Roman"/>
                <w:bCs/>
                <w:color w:val="000000"/>
                <w:kern w:val="0"/>
                <w:sz w:val="24"/>
                <w:szCs w:val="24"/>
                <w:lang w:bidi="ar"/>
              </w:rPr>
              <w:t>/</w:t>
            </w:r>
            <w:r>
              <w:rPr>
                <w:rFonts w:hint="eastAsia" w:cs="Times New Roman"/>
                <w:bCs/>
                <w:color w:val="000000"/>
                <w:kern w:val="0"/>
                <w:sz w:val="24"/>
                <w:szCs w:val="24"/>
                <w:lang w:bidi="ar"/>
              </w:rPr>
              <w:t>火炬松人工林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6-8</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15-24</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45-56</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40-50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5</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柳杉人工林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6-7</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20-30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60-100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50-60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6</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木荷人工林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10-12</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6-8</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13-18</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18-23</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80-100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40-60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7</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香樟人工林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10-12</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6-8</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15-25</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60-80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40-60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8</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楠木人工林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6-7</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60-80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40-60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9</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檫木人工林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10-12</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6-8</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12-18</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18-25</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40-60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w:t>
            </w:r>
            <w:r>
              <w:rPr>
                <w:rStyle w:val="32"/>
                <w:rFonts w:hint="default" w:ascii="Times New Roman" w:hAnsi="Times New Roman" w:eastAsia="仿宋_GB2312" w:cs="Times New Roman"/>
                <w:sz w:val="24"/>
                <w:szCs w:val="24"/>
                <w:lang w:bidi="ar"/>
              </w:rPr>
              <w:t>40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10</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润楠人工林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6-7</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15-24</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60-80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40-60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11</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栎类人工林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15-25</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60-80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40-60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12</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青冈人工林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10-13</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50-60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30-40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13</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槠栲人工林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6-8</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60-80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50-60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14</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枫香人工林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8-12</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15-25</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60-80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40-60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15</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南酸枣人工林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10-13</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10-18</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18-25</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50-60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w:t>
            </w:r>
            <w:r>
              <w:rPr>
                <w:rStyle w:val="32"/>
                <w:rFonts w:hint="default" w:ascii="Times New Roman" w:hAnsi="Times New Roman" w:eastAsia="仿宋_GB2312" w:cs="Times New Roman"/>
                <w:sz w:val="24"/>
                <w:szCs w:val="24"/>
                <w:lang w:bidi="ar"/>
              </w:rPr>
              <w:t>40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16</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槠栲天然林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10-14</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14-18</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80-100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40-60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17</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青冈天然林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12-15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7-10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80-100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60-80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18</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润楠天然林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6-8</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10-20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20-30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60-80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40-60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19</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木荷天然林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12-15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Cs/>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50-70</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30-40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cs="Times New Roman"/>
                <w:bCs/>
                <w:color w:val="000000"/>
                <w:kern w:val="0"/>
                <w:sz w:val="24"/>
                <w:szCs w:val="24"/>
                <w:lang w:bidi="ar"/>
              </w:rPr>
              <w:t>20</w:t>
            </w:r>
          </w:p>
        </w:tc>
        <w:tc>
          <w:tcPr>
            <w:tcW w:w="1526" w:type="dxa"/>
            <w:vMerge w:val="restart"/>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bCs/>
                <w:color w:val="000000"/>
                <w:sz w:val="24"/>
                <w:szCs w:val="24"/>
              </w:rPr>
            </w:pPr>
            <w:r>
              <w:rPr>
                <w:rFonts w:hint="eastAsia" w:cs="Times New Roman"/>
                <w:bCs/>
                <w:color w:val="000000"/>
                <w:kern w:val="0"/>
                <w:sz w:val="24"/>
                <w:szCs w:val="24"/>
                <w:lang w:bidi="ar"/>
              </w:rPr>
              <w:t>栎类天然林</w:t>
            </w: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目标树数量</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14-16</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8-12</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优势高</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10-15</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15-20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w:t>
            </w:r>
            <w:r>
              <w:rPr>
                <w:rStyle w:val="31"/>
                <w:rFonts w:hint="default" w:ascii="Times New Roman" w:hAnsi="Times New Roman" w:eastAsia="仿宋_GB2312" w:cs="Times New Roman"/>
                <w:sz w:val="24"/>
                <w:szCs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03"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
                <w:color w:val="000000"/>
                <w:sz w:val="24"/>
                <w:szCs w:val="24"/>
              </w:rPr>
            </w:pPr>
          </w:p>
        </w:tc>
        <w:tc>
          <w:tcPr>
            <w:tcW w:w="1526" w:type="dxa"/>
            <w:vMerge w:val="continue"/>
            <w:shd w:val="clear" w:color="auto" w:fill="auto"/>
            <w:tcMar>
              <w:top w:w="15" w:type="dxa"/>
              <w:left w:w="15" w:type="dxa"/>
              <w:right w:w="15" w:type="dxa"/>
            </w:tcMar>
            <w:vAlign w:val="center"/>
          </w:tcPr>
          <w:p>
            <w:pPr>
              <w:adjustRightInd w:val="0"/>
              <w:snapToGrid w:val="0"/>
              <w:spacing w:line="240" w:lineRule="auto"/>
              <w:ind w:firstLine="0" w:firstLineChars="0"/>
              <w:jc w:val="center"/>
              <w:rPr>
                <w:rFonts w:cs="Times New Roman"/>
                <w:b/>
                <w:color w:val="000000"/>
                <w:sz w:val="24"/>
                <w:szCs w:val="24"/>
              </w:rPr>
            </w:pPr>
          </w:p>
        </w:tc>
        <w:tc>
          <w:tcPr>
            <w:tcW w:w="158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hint="eastAsia" w:cs="Times New Roman"/>
                <w:color w:val="000000"/>
                <w:kern w:val="0"/>
                <w:sz w:val="24"/>
                <w:szCs w:val="24"/>
                <w:lang w:bidi="ar"/>
              </w:rPr>
              <w:t>林分密度</w:t>
            </w:r>
          </w:p>
        </w:tc>
        <w:tc>
          <w:tcPr>
            <w:tcW w:w="1737"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100-166</w:t>
            </w:r>
          </w:p>
        </w:tc>
        <w:tc>
          <w:tcPr>
            <w:tcW w:w="2002"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90-120</w:t>
            </w:r>
          </w:p>
        </w:tc>
        <w:tc>
          <w:tcPr>
            <w:tcW w:w="1775" w:type="dxa"/>
            <w:shd w:val="clear" w:color="auto" w:fill="auto"/>
            <w:tcMar>
              <w:top w:w="15" w:type="dxa"/>
              <w:left w:w="15" w:type="dxa"/>
              <w:right w:w="15" w:type="dxa"/>
            </w:tcMar>
            <w:vAlign w:val="center"/>
          </w:tcPr>
          <w:p>
            <w:pPr>
              <w:widowControl/>
              <w:adjustRightInd w:val="0"/>
              <w:snapToGrid w:val="0"/>
              <w:spacing w:line="240" w:lineRule="auto"/>
              <w:ind w:firstLine="0" w:firstLineChars="0"/>
              <w:jc w:val="center"/>
              <w:textAlignment w:val="center"/>
              <w:rPr>
                <w:rFonts w:cs="Times New Roman"/>
                <w:color w:val="000000"/>
                <w:sz w:val="24"/>
                <w:szCs w:val="24"/>
              </w:rPr>
            </w:pPr>
            <w:r>
              <w:rPr>
                <w:rFonts w:cs="Times New Roman"/>
                <w:color w:val="000000"/>
                <w:kern w:val="0"/>
                <w:sz w:val="24"/>
                <w:szCs w:val="24"/>
                <w:lang w:bidi="ar"/>
              </w:rPr>
              <w:t>50-80</w:t>
            </w:r>
          </w:p>
        </w:tc>
      </w:tr>
    </w:tbl>
    <w:p>
      <w:pPr>
        <w:spacing w:line="360" w:lineRule="auto"/>
        <w:ind w:firstLine="640"/>
        <w:rPr>
          <w:rFonts w:ascii="黑体" w:hAnsi="黑体" w:eastAsia="黑体" w:cs="Times New Roman"/>
          <w:bCs/>
          <w:szCs w:val="32"/>
        </w:rPr>
      </w:pPr>
      <w:r>
        <w:rPr>
          <w:rFonts w:ascii="黑体" w:hAnsi="黑体" w:eastAsia="黑体" w:cs="Times New Roman"/>
          <w:bCs/>
          <w:szCs w:val="32"/>
        </w:rPr>
        <w:t>9</w:t>
      </w:r>
      <w:r>
        <w:rPr>
          <w:rFonts w:hint="eastAsia" w:ascii="黑体" w:hAnsi="黑体" w:eastAsia="黑体" w:cs="Times New Roman"/>
          <w:bCs/>
          <w:szCs w:val="32"/>
        </w:rPr>
        <w:t>成效评价与档案管理</w:t>
      </w:r>
      <w:r>
        <w:rPr>
          <w:rFonts w:ascii="黑体" w:hAnsi="黑体" w:eastAsia="黑体" w:cs="Times New Roman"/>
          <w:bCs/>
          <w:szCs w:val="32"/>
        </w:rPr>
        <w:t xml:space="preserve"> </w:t>
      </w:r>
    </w:p>
    <w:p>
      <w:pPr>
        <w:snapToGrid w:val="0"/>
        <w:spacing w:line="360" w:lineRule="auto"/>
        <w:ind w:firstLine="640"/>
        <w:rPr>
          <w:rFonts w:ascii="仿宋_GB2312" w:cs="Times New Roman"/>
          <w:szCs w:val="32"/>
        </w:rPr>
        <w:sectPr>
          <w:pgSz w:w="11906" w:h="16838"/>
          <w:pgMar w:top="1928" w:right="1304" w:bottom="1531" w:left="1531" w:header="851" w:footer="1474" w:gutter="0"/>
          <w:cols w:space="425" w:num="1"/>
          <w:docGrid w:type="lines" w:linePitch="312" w:charSpace="0"/>
        </w:sectPr>
      </w:pPr>
      <w:r>
        <w:rPr>
          <w:rFonts w:hint="eastAsia" w:ascii="仿宋_GB2312" w:cs="Times New Roman"/>
          <w:szCs w:val="32"/>
        </w:rPr>
        <w:t>参照GB/T15781执行。</w:t>
      </w:r>
    </w:p>
    <w:p>
      <w:pPr>
        <w:spacing w:line="680" w:lineRule="exact"/>
        <w:ind w:firstLine="0" w:firstLineChars="0"/>
        <w:jc w:val="center"/>
        <w:rPr>
          <w:rFonts w:eastAsia="方正小标宋简体" w:cs="Times New Roman"/>
          <w:sz w:val="44"/>
          <w:szCs w:val="44"/>
        </w:rPr>
      </w:pPr>
      <w:r>
        <w:rPr>
          <w:rFonts w:hint="eastAsia" w:eastAsia="方正小标宋简体" w:cs="Times New Roman"/>
          <w:sz w:val="44"/>
          <w:szCs w:val="44"/>
        </w:rPr>
        <w:t>珍贵树种、大径材林经营方案编制提纲</w:t>
      </w:r>
    </w:p>
    <w:p>
      <w:pPr>
        <w:spacing w:before="156" w:beforeLines="50"/>
        <w:ind w:firstLine="0" w:firstLineChars="0"/>
        <w:jc w:val="center"/>
        <w:rPr>
          <w:rFonts w:ascii="楷体_GB2312" w:eastAsia="楷体_GB2312" w:cs="Times New Roman"/>
          <w:bCs/>
          <w:szCs w:val="32"/>
        </w:rPr>
      </w:pPr>
      <w:r>
        <w:rPr>
          <w:rFonts w:hint="eastAsia" w:ascii="楷体_GB2312" w:eastAsia="楷体_GB2312" w:cs="Times New Roman"/>
          <w:szCs w:val="32"/>
        </w:rPr>
        <w:t>（简版，含作业设计）</w:t>
      </w:r>
    </w:p>
    <w:p>
      <w:pPr>
        <w:ind w:firstLine="0" w:firstLineChars="0"/>
        <w:rPr>
          <w:rFonts w:cs="Times New Roman"/>
        </w:rPr>
      </w:pPr>
    </w:p>
    <w:p>
      <w:pPr>
        <w:ind w:firstLine="640"/>
        <w:rPr>
          <w:rFonts w:ascii="黑体" w:hAnsi="黑体" w:eastAsia="黑体" w:cs="Times New Roman"/>
        </w:rPr>
      </w:pPr>
      <w:r>
        <w:rPr>
          <w:rFonts w:hint="eastAsia" w:ascii="黑体" w:hAnsi="黑体" w:eastAsia="黑体" w:cs="Times New Roman"/>
        </w:rPr>
        <w:t>1森林发展类型设计</w:t>
      </w:r>
    </w:p>
    <w:p>
      <w:pPr>
        <w:ind w:firstLine="643"/>
        <w:rPr>
          <w:rFonts w:ascii="仿宋_GB2312" w:cs="Times New Roman"/>
          <w:szCs w:val="32"/>
        </w:rPr>
      </w:pPr>
      <w:r>
        <w:rPr>
          <w:rFonts w:hint="eastAsia" w:ascii="仿宋_GB2312" w:cs="Times New Roman"/>
          <w:b/>
          <w:bCs/>
          <w:szCs w:val="32"/>
        </w:rPr>
        <w:t>小班现状：</w:t>
      </w:r>
      <w:r>
        <w:rPr>
          <w:rFonts w:hint="eastAsia" w:ascii="仿宋_GB2312" w:cs="Times New Roman"/>
          <w:szCs w:val="32"/>
        </w:rPr>
        <w:t>位于**县**乡**村29、31、33小班，面积300亩，主要树种为木荷、杉木、马尾松、甜槠等组成的次生松阔混交林，林分平均密度140株/亩，郁闭度0.7，平均胸径12厘米，平均树高9米。平均气温17.8℃，极端最高温达41.9℃，极端最低温达-13.1℃。年平均降水量1437毫米，无霜期245天。土壤为山地黄壤，土层厚40-50毫米，土壤PH值5.0-5.5。</w:t>
      </w:r>
    </w:p>
    <w:p>
      <w:pPr>
        <w:ind w:firstLine="643"/>
        <w:rPr>
          <w:rFonts w:ascii="仿宋_GB2312" w:cs="Times New Roman"/>
          <w:bCs/>
          <w:szCs w:val="32"/>
        </w:rPr>
      </w:pPr>
      <w:r>
        <w:rPr>
          <w:rFonts w:hint="eastAsia" w:ascii="仿宋_GB2312" w:cs="Times New Roman"/>
          <w:b/>
          <w:szCs w:val="32"/>
        </w:rPr>
        <w:drawing>
          <wp:anchor distT="0" distB="0" distL="114300" distR="114300" simplePos="0" relativeHeight="251660288" behindDoc="0" locked="0" layoutInCell="1" allowOverlap="1">
            <wp:simplePos x="0" y="0"/>
            <wp:positionH relativeFrom="column">
              <wp:posOffset>271145</wp:posOffset>
            </wp:positionH>
            <wp:positionV relativeFrom="paragraph">
              <wp:posOffset>427355</wp:posOffset>
            </wp:positionV>
            <wp:extent cx="5223510" cy="3275965"/>
            <wp:effectExtent l="0" t="0" r="0" b="635"/>
            <wp:wrapTopAndBottom/>
            <wp:docPr id="13" name="图片 13" descr="三溪乡后吴自然村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三溪乡后吴自然村 (120)"/>
                    <pic:cNvPicPr>
                      <a:picLocks noChangeAspect="1"/>
                    </pic:cNvPicPr>
                  </pic:nvPicPr>
                  <pic:blipFill>
                    <a:blip r:embed="rId14">
                      <a:extLst>
                        <a:ext uri="{28A0092B-C50C-407E-A947-70E740481C1C}">
                          <a14:useLocalDpi xmlns:a14="http://schemas.microsoft.com/office/drawing/2010/main" val="0"/>
                        </a:ext>
                      </a:extLst>
                    </a:blip>
                    <a:srcRect l="29176" b="37772"/>
                    <a:stretch>
                      <a:fillRect/>
                    </a:stretch>
                  </pic:blipFill>
                  <pic:spPr>
                    <a:xfrm>
                      <a:off x="0" y="0"/>
                      <a:ext cx="5223510" cy="3275965"/>
                    </a:xfrm>
                    <a:prstGeom prst="rect">
                      <a:avLst/>
                    </a:prstGeom>
                    <a:noFill/>
                    <a:ln>
                      <a:noFill/>
                    </a:ln>
                  </pic:spPr>
                </pic:pic>
              </a:graphicData>
            </a:graphic>
          </wp:anchor>
        </w:drawing>
      </w:r>
      <w:r>
        <w:rPr>
          <w:rFonts w:hint="eastAsia" w:ascii="仿宋_GB2312" w:cs="Times New Roman"/>
          <w:b/>
          <w:bCs/>
          <w:szCs w:val="32"/>
        </w:rPr>
        <w:t>目标林相设计：</w:t>
      </w:r>
      <w:r>
        <w:rPr>
          <w:rFonts w:hint="eastAsia" w:ascii="仿宋_GB2312" w:cs="Times New Roman"/>
          <w:bCs/>
          <w:szCs w:val="32"/>
        </w:rPr>
        <w:t>由于该林分位于</w:t>
      </w:r>
      <w:r>
        <w:rPr>
          <w:rFonts w:hint="eastAsia" w:ascii="仿宋_GB2312" w:cs="Times New Roman"/>
          <w:szCs w:val="32"/>
        </w:rPr>
        <w:t>**</w:t>
      </w:r>
      <w:r>
        <w:rPr>
          <w:rFonts w:hint="eastAsia" w:ascii="仿宋_GB2312" w:cs="Times New Roman"/>
          <w:bCs/>
          <w:szCs w:val="32"/>
        </w:rPr>
        <w:t>县</w:t>
      </w:r>
      <w:r>
        <w:rPr>
          <w:rFonts w:hint="eastAsia" w:ascii="仿宋_GB2312" w:cs="Times New Roman"/>
          <w:szCs w:val="32"/>
        </w:rPr>
        <w:t>**</w:t>
      </w:r>
      <w:r>
        <w:rPr>
          <w:rFonts w:hint="eastAsia" w:ascii="仿宋_GB2312" w:cs="Times New Roman"/>
          <w:bCs/>
          <w:szCs w:val="32"/>
        </w:rPr>
        <w:t>乡政府周围，既具景观游憩功能，满足当地居民休闲健身功能，又具木材生产、水土保持、涵养水源等功能。经营目标是通过目标树经营，在满足景观功能同时，又能确保生态安全和木材产出功能。</w:t>
      </w:r>
    </w:p>
    <w:p>
      <w:pPr>
        <w:ind w:firstLine="640"/>
        <w:rPr>
          <w:rFonts w:ascii="仿宋_GB2312" w:cs="Times New Roman"/>
          <w:bCs/>
          <w:szCs w:val="32"/>
        </w:rPr>
      </w:pPr>
      <w:r>
        <w:rPr>
          <w:rFonts w:hint="eastAsia" w:ascii="仿宋_GB2312" w:cs="Times New Roman"/>
          <w:bCs/>
          <w:szCs w:val="32"/>
        </w:rPr>
        <w:t>该林分主要通过目标树单株木经营作业，前期目标林相是单株木择伐作业经营，促进目标树生长与更新，先期形成以阔叶树种为优势树种的针阔混交林，最终目标林相为常绿落叶阔叶异龄混交林。目标胸径40厘米。</w:t>
      </w:r>
    </w:p>
    <w:p>
      <w:pPr>
        <w:ind w:firstLine="640"/>
        <w:rPr>
          <w:rFonts w:ascii="仿宋_GB2312" w:cs="Times New Roman"/>
          <w:b/>
          <w:bCs/>
          <w:szCs w:val="32"/>
        </w:rPr>
      </w:pPr>
      <w:r>
        <w:rPr>
          <w:rFonts w:hint="eastAsia" w:ascii="仿宋_GB2312" w:cs="Times New Roman"/>
          <w:bCs/>
          <w:szCs w:val="32"/>
        </w:rPr>
        <w:t>对未来林分发展的估计是，木荷、甜槠、枫香等是这个地段适生乡土树种，但由于立地条件一般，预期在经营合理的条件下枫香在60年左右优势木可能达到40厘米的目标胸径；木荷、甜槠等树种优势木在70年左右可达40厘米的目标胸径，并通过天然更新，形成恒续林。</w:t>
      </w:r>
    </w:p>
    <w:p>
      <w:pPr>
        <w:spacing w:after="156" w:afterLines="50" w:line="520" w:lineRule="exact"/>
        <w:ind w:firstLine="0" w:firstLineChars="0"/>
        <w:jc w:val="center"/>
        <w:rPr>
          <w:rFonts w:ascii="方正小标宋简体" w:eastAsia="方正小标宋简体" w:cs="Times New Roman"/>
          <w:kern w:val="0"/>
          <w:sz w:val="28"/>
          <w:szCs w:val="28"/>
        </w:rPr>
      </w:pPr>
      <w:r>
        <w:rPr>
          <w:rFonts w:hint="eastAsia" w:ascii="方正小标宋简体" w:eastAsia="方正小标宋简体" w:cs="Times New Roman"/>
          <w:sz w:val="28"/>
          <w:szCs w:val="28"/>
        </w:rPr>
        <w:t>**乡次生松阔混交林近自然单株择伐作业全周期经营措施表</w:t>
      </w:r>
    </w:p>
    <w:tbl>
      <w:tblPr>
        <w:tblStyle w:val="14"/>
        <w:tblW w:w="9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8"/>
        <w:gridCol w:w="1335"/>
        <w:gridCol w:w="890"/>
        <w:gridCol w:w="6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588" w:type="dxa"/>
            <w:vAlign w:val="center"/>
          </w:tcPr>
          <w:p>
            <w:pPr>
              <w:adjustRightInd w:val="0"/>
              <w:snapToGrid w:val="0"/>
              <w:spacing w:line="240" w:lineRule="auto"/>
              <w:ind w:firstLine="0" w:firstLineChars="0"/>
              <w:jc w:val="center"/>
              <w:rPr>
                <w:rFonts w:ascii="仿宋_GB2312" w:hAnsi="Calibri" w:cs="Times New Roman"/>
                <w:kern w:val="0"/>
                <w:sz w:val="24"/>
                <w:szCs w:val="24"/>
              </w:rPr>
            </w:pPr>
            <w:r>
              <w:rPr>
                <w:rFonts w:hint="eastAsia" w:ascii="仿宋_GB2312" w:hAnsi="Calibri" w:cs="Times New Roman"/>
                <w:b/>
                <w:bCs/>
                <w:kern w:val="0"/>
                <w:sz w:val="24"/>
                <w:szCs w:val="24"/>
              </w:rPr>
              <w:t>发展阶段</w:t>
            </w:r>
          </w:p>
        </w:tc>
        <w:tc>
          <w:tcPr>
            <w:tcW w:w="1335" w:type="dxa"/>
            <w:vAlign w:val="center"/>
          </w:tcPr>
          <w:p>
            <w:pPr>
              <w:adjustRightInd w:val="0"/>
              <w:snapToGrid w:val="0"/>
              <w:spacing w:line="240" w:lineRule="auto"/>
              <w:ind w:firstLine="0" w:firstLineChars="0"/>
              <w:jc w:val="center"/>
              <w:rPr>
                <w:rFonts w:ascii="仿宋_GB2312" w:hAnsi="Calibri" w:cs="Times New Roman"/>
                <w:kern w:val="0"/>
                <w:sz w:val="24"/>
                <w:szCs w:val="24"/>
              </w:rPr>
            </w:pPr>
            <w:r>
              <w:rPr>
                <w:rFonts w:hint="eastAsia" w:ascii="仿宋_GB2312" w:hAnsi="Calibri" w:cs="Times New Roman"/>
                <w:b/>
                <w:bCs/>
                <w:kern w:val="0"/>
                <w:sz w:val="24"/>
                <w:szCs w:val="24"/>
              </w:rPr>
              <w:t>林分特征</w:t>
            </w:r>
          </w:p>
        </w:tc>
        <w:tc>
          <w:tcPr>
            <w:tcW w:w="890" w:type="dxa"/>
            <w:vAlign w:val="center"/>
          </w:tcPr>
          <w:p>
            <w:pPr>
              <w:adjustRightInd w:val="0"/>
              <w:snapToGrid w:val="0"/>
              <w:spacing w:line="240" w:lineRule="auto"/>
              <w:ind w:firstLine="0" w:firstLineChars="0"/>
              <w:jc w:val="center"/>
              <w:rPr>
                <w:rFonts w:ascii="仿宋_GB2312" w:hAnsi="Calibri" w:cs="Times New Roman"/>
                <w:kern w:val="0"/>
                <w:sz w:val="24"/>
                <w:szCs w:val="24"/>
              </w:rPr>
            </w:pPr>
            <w:r>
              <w:rPr>
                <w:rFonts w:hint="eastAsia" w:ascii="仿宋_GB2312" w:hAnsi="Calibri" w:cs="Times New Roman"/>
                <w:b/>
                <w:bCs/>
                <w:kern w:val="0"/>
                <w:sz w:val="24"/>
                <w:szCs w:val="24"/>
              </w:rPr>
              <w:t>优势高</w:t>
            </w:r>
          </w:p>
        </w:tc>
        <w:tc>
          <w:tcPr>
            <w:tcW w:w="6268" w:type="dxa"/>
            <w:vAlign w:val="center"/>
          </w:tcPr>
          <w:p>
            <w:pPr>
              <w:adjustRightInd w:val="0"/>
              <w:snapToGrid w:val="0"/>
              <w:spacing w:line="240" w:lineRule="auto"/>
              <w:ind w:firstLine="0" w:firstLineChars="0"/>
              <w:jc w:val="center"/>
              <w:rPr>
                <w:rFonts w:ascii="仿宋_GB2312" w:hAnsi="Calibri" w:cs="Times New Roman"/>
                <w:kern w:val="0"/>
                <w:sz w:val="24"/>
                <w:szCs w:val="24"/>
              </w:rPr>
            </w:pPr>
            <w:r>
              <w:rPr>
                <w:rFonts w:hint="eastAsia" w:ascii="仿宋_GB2312" w:hAnsi="Calibri" w:cs="Times New Roman"/>
                <w:b/>
                <w:bCs/>
                <w:kern w:val="0"/>
                <w:sz w:val="24"/>
                <w:szCs w:val="24"/>
              </w:rPr>
              <w:t>主要抚育措施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88" w:type="dxa"/>
            <w:vMerge w:val="restart"/>
            <w:vAlign w:val="center"/>
          </w:tcPr>
          <w:p>
            <w:pPr>
              <w:adjustRightInd w:val="0"/>
              <w:snapToGrid w:val="0"/>
              <w:spacing w:line="3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1</w:t>
            </w:r>
          </w:p>
        </w:tc>
        <w:tc>
          <w:tcPr>
            <w:tcW w:w="1335" w:type="dxa"/>
            <w:vMerge w:val="restart"/>
            <w:vAlign w:val="center"/>
          </w:tcPr>
          <w:p>
            <w:pPr>
              <w:adjustRightInd w:val="0"/>
              <w:snapToGrid w:val="0"/>
              <w:spacing w:line="300" w:lineRule="exact"/>
              <w:ind w:firstLine="0" w:firstLineChars="0"/>
              <w:jc w:val="left"/>
              <w:rPr>
                <w:rFonts w:ascii="仿宋_GB2312" w:hAnsi="Calibri" w:cs="Times New Roman"/>
                <w:kern w:val="0"/>
                <w:sz w:val="24"/>
                <w:szCs w:val="24"/>
              </w:rPr>
            </w:pPr>
            <w:r>
              <w:rPr>
                <w:rFonts w:hint="eastAsia" w:ascii="仿宋_GB2312" w:hAnsi="Calibri" w:cs="Times New Roman"/>
                <w:kern w:val="0"/>
                <w:sz w:val="24"/>
                <w:szCs w:val="24"/>
              </w:rPr>
              <w:t>造林/幼林形成或林分建群阶段</w:t>
            </w:r>
          </w:p>
        </w:tc>
        <w:tc>
          <w:tcPr>
            <w:tcW w:w="890" w:type="dxa"/>
            <w:vAlign w:val="center"/>
          </w:tcPr>
          <w:p>
            <w:pPr>
              <w:adjustRightInd w:val="0"/>
              <w:snapToGrid w:val="0"/>
              <w:spacing w:line="3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&lt;2.5 m</w:t>
            </w:r>
          </w:p>
        </w:tc>
        <w:tc>
          <w:tcPr>
            <w:tcW w:w="6268" w:type="dxa"/>
            <w:vAlign w:val="center"/>
          </w:tcPr>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造林/幼林形成阶段，避免人畜干扰和</w:t>
            </w:r>
            <w:r>
              <w:rPr>
                <w:rFonts w:hint="eastAsia" w:ascii="仿宋_GB2312" w:hAnsi="Calibri" w:cs="Times New Roman"/>
                <w:kern w:val="0"/>
                <w:sz w:val="24"/>
                <w:szCs w:val="24"/>
                <w:lang w:eastAsia="zh-CN"/>
              </w:rPr>
              <w:t>破坏</w:t>
            </w:r>
            <w:r>
              <w:rPr>
                <w:rFonts w:hint="eastAsia" w:ascii="仿宋_GB2312" w:hAnsi="Calibri" w:cs="Times New Roman"/>
                <w:kern w:val="0"/>
                <w:sz w:val="24"/>
                <w:szCs w:val="24"/>
              </w:rPr>
              <w:t>，一般情况下不作任何抚育采伐而是执行造林地保护措施。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88" w:type="dxa"/>
            <w:vMerge w:val="continue"/>
            <w:vAlign w:val="center"/>
          </w:tcPr>
          <w:p>
            <w:pPr>
              <w:adjustRightInd w:val="0"/>
              <w:snapToGrid w:val="0"/>
              <w:spacing w:line="300" w:lineRule="exact"/>
              <w:ind w:firstLine="0" w:firstLineChars="0"/>
              <w:jc w:val="center"/>
              <w:rPr>
                <w:rFonts w:ascii="仿宋_GB2312" w:hAnsi="Calibri" w:cs="Times New Roman"/>
                <w:kern w:val="0"/>
                <w:sz w:val="24"/>
                <w:szCs w:val="24"/>
              </w:rPr>
            </w:pPr>
          </w:p>
        </w:tc>
        <w:tc>
          <w:tcPr>
            <w:tcW w:w="1335" w:type="dxa"/>
            <w:vMerge w:val="continue"/>
            <w:vAlign w:val="center"/>
          </w:tcPr>
          <w:p>
            <w:pPr>
              <w:adjustRightInd w:val="0"/>
              <w:snapToGrid w:val="0"/>
              <w:spacing w:line="300" w:lineRule="exact"/>
              <w:ind w:firstLine="0" w:firstLineChars="0"/>
              <w:jc w:val="left"/>
              <w:rPr>
                <w:rFonts w:ascii="仿宋_GB2312" w:hAnsi="Calibri" w:cs="Times New Roman"/>
                <w:kern w:val="0"/>
                <w:sz w:val="24"/>
                <w:szCs w:val="24"/>
              </w:rPr>
            </w:pPr>
          </w:p>
        </w:tc>
        <w:tc>
          <w:tcPr>
            <w:tcW w:w="890" w:type="dxa"/>
            <w:vAlign w:val="center"/>
          </w:tcPr>
          <w:p>
            <w:pPr>
              <w:adjustRightInd w:val="0"/>
              <w:snapToGrid w:val="0"/>
              <w:spacing w:line="3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2.5-5m</w:t>
            </w:r>
          </w:p>
          <w:p>
            <w:pPr>
              <w:adjustRightInd w:val="0"/>
              <w:snapToGrid w:val="0"/>
              <w:spacing w:line="300" w:lineRule="exact"/>
              <w:ind w:firstLine="0" w:firstLineChars="0"/>
              <w:jc w:val="center"/>
              <w:rPr>
                <w:rFonts w:ascii="仿宋_GB2312" w:hAnsi="Calibri" w:cs="Times New Roman"/>
                <w:kern w:val="0"/>
                <w:sz w:val="24"/>
                <w:szCs w:val="24"/>
              </w:rPr>
            </w:pPr>
          </w:p>
        </w:tc>
        <w:tc>
          <w:tcPr>
            <w:tcW w:w="6268" w:type="dxa"/>
            <w:vAlign w:val="center"/>
          </w:tcPr>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个别结构单一、过密情况下才对优势木进行间伐抚育</w:t>
            </w:r>
          </w:p>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进行割灌为主的侧方抚育</w:t>
            </w:r>
          </w:p>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目的阔叶树种的定株抚育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88" w:type="dxa"/>
            <w:vAlign w:val="center"/>
          </w:tcPr>
          <w:p>
            <w:pPr>
              <w:adjustRightInd w:val="0"/>
              <w:snapToGrid w:val="0"/>
              <w:spacing w:line="3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2</w:t>
            </w:r>
          </w:p>
        </w:tc>
        <w:tc>
          <w:tcPr>
            <w:tcW w:w="1335" w:type="dxa"/>
            <w:vAlign w:val="center"/>
          </w:tcPr>
          <w:p>
            <w:pPr>
              <w:adjustRightInd w:val="0"/>
              <w:snapToGrid w:val="0"/>
              <w:spacing w:line="300" w:lineRule="exact"/>
              <w:ind w:firstLine="0" w:firstLineChars="0"/>
              <w:jc w:val="left"/>
              <w:rPr>
                <w:rFonts w:ascii="仿宋_GB2312" w:hAnsi="Calibri" w:cs="Times New Roman"/>
                <w:kern w:val="0"/>
                <w:sz w:val="24"/>
                <w:szCs w:val="24"/>
              </w:rPr>
            </w:pPr>
            <w:r>
              <w:rPr>
                <w:rFonts w:hint="eastAsia" w:ascii="仿宋_GB2312" w:hAnsi="Calibri" w:cs="Times New Roman"/>
                <w:kern w:val="0"/>
                <w:sz w:val="24"/>
                <w:szCs w:val="24"/>
              </w:rPr>
              <w:t>幼林至杆材林的郁闭林分，是竞争生长质量形成的阶段</w:t>
            </w:r>
          </w:p>
        </w:tc>
        <w:tc>
          <w:tcPr>
            <w:tcW w:w="890" w:type="dxa"/>
            <w:vAlign w:val="center"/>
          </w:tcPr>
          <w:p>
            <w:pPr>
              <w:adjustRightInd w:val="0"/>
              <w:snapToGrid w:val="0"/>
              <w:spacing w:line="3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5-10m</w:t>
            </w:r>
          </w:p>
          <w:p>
            <w:pPr>
              <w:adjustRightInd w:val="0"/>
              <w:snapToGrid w:val="0"/>
              <w:spacing w:line="300" w:lineRule="exact"/>
              <w:ind w:firstLine="0" w:firstLineChars="0"/>
              <w:jc w:val="center"/>
              <w:rPr>
                <w:rFonts w:ascii="仿宋_GB2312" w:hAnsi="Calibri" w:cs="Times New Roman"/>
                <w:kern w:val="0"/>
                <w:sz w:val="24"/>
                <w:szCs w:val="24"/>
              </w:rPr>
            </w:pPr>
          </w:p>
        </w:tc>
        <w:tc>
          <w:tcPr>
            <w:tcW w:w="6268" w:type="dxa"/>
            <w:vAlign w:val="center"/>
          </w:tcPr>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核心目标是通过抚育促进优势个体快速生长.</w:t>
            </w:r>
          </w:p>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第一个打枝期，打枝高度要控制在 3-3.5 m的下部</w:t>
            </w:r>
          </w:p>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抚育目的阔叶树种，优势木层松树的强度抚育伐，促进阔叶树种生长；目的阔叶树种不足时进行补植，补植后阔叶树种数量应达到60株/亩以上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88" w:type="dxa"/>
            <w:vAlign w:val="center"/>
          </w:tcPr>
          <w:p>
            <w:pPr>
              <w:adjustRightInd w:val="0"/>
              <w:snapToGrid w:val="0"/>
              <w:spacing w:line="3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3</w:t>
            </w:r>
          </w:p>
        </w:tc>
        <w:tc>
          <w:tcPr>
            <w:tcW w:w="1335" w:type="dxa"/>
            <w:vAlign w:val="center"/>
          </w:tcPr>
          <w:p>
            <w:pPr>
              <w:adjustRightInd w:val="0"/>
              <w:snapToGrid w:val="0"/>
              <w:spacing w:line="300" w:lineRule="exact"/>
              <w:ind w:firstLine="0" w:firstLineChars="0"/>
              <w:jc w:val="left"/>
              <w:rPr>
                <w:rFonts w:ascii="仿宋_GB2312" w:hAnsi="Calibri" w:cs="Times New Roman"/>
                <w:kern w:val="0"/>
                <w:sz w:val="24"/>
                <w:szCs w:val="24"/>
              </w:rPr>
            </w:pPr>
            <w:r>
              <w:rPr>
                <w:rFonts w:hint="eastAsia" w:ascii="仿宋_GB2312" w:hAnsi="Calibri" w:cs="Times New Roman"/>
                <w:kern w:val="0"/>
                <w:sz w:val="24"/>
                <w:szCs w:val="24"/>
              </w:rPr>
              <w:t>杆材林，是质量选择和树高生长抚育阶段，以马尾松先锋树种为主，顶级树种出现</w:t>
            </w:r>
          </w:p>
        </w:tc>
        <w:tc>
          <w:tcPr>
            <w:tcW w:w="890" w:type="dxa"/>
            <w:vAlign w:val="center"/>
          </w:tcPr>
          <w:p>
            <w:pPr>
              <w:adjustRightInd w:val="0"/>
              <w:snapToGrid w:val="0"/>
              <w:spacing w:line="300" w:lineRule="exact"/>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10-15m</w:t>
            </w:r>
          </w:p>
          <w:p>
            <w:pPr>
              <w:adjustRightInd w:val="0"/>
              <w:snapToGrid w:val="0"/>
              <w:spacing w:line="300" w:lineRule="exact"/>
              <w:ind w:firstLine="0" w:firstLineChars="0"/>
              <w:jc w:val="center"/>
              <w:rPr>
                <w:rFonts w:ascii="仿宋_GB2312" w:hAnsi="Calibri" w:cs="Times New Roman"/>
                <w:kern w:val="0"/>
                <w:sz w:val="24"/>
                <w:szCs w:val="24"/>
              </w:rPr>
            </w:pPr>
          </w:p>
        </w:tc>
        <w:tc>
          <w:tcPr>
            <w:tcW w:w="6268" w:type="dxa"/>
            <w:vAlign w:val="center"/>
          </w:tcPr>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核心目标通过采伐干扰树及马尾松促进优势个体生长</w:t>
            </w:r>
          </w:p>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阔叶树种的定向抚育，主林层阔叶树数量应保持在50株/亩以上</w:t>
            </w:r>
          </w:p>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目标树首次选择，数量8-10株/亩左右，目标树打枝控制在 6 m高度以下。</w:t>
            </w:r>
          </w:p>
          <w:p>
            <w:pPr>
              <w:adjustRightInd w:val="0"/>
              <w:snapToGrid w:val="0"/>
              <w:spacing w:line="300" w:lineRule="exact"/>
              <w:ind w:firstLine="0" w:firstLineChars="0"/>
              <w:rPr>
                <w:rFonts w:ascii="仿宋_GB2312" w:hAnsi="Calibri" w:cs="Times New Roman"/>
                <w:kern w:val="0"/>
                <w:sz w:val="24"/>
                <w:szCs w:val="24"/>
              </w:rPr>
            </w:pPr>
            <w:r>
              <w:rPr>
                <w:rFonts w:hint="eastAsia" w:ascii="仿宋_GB2312" w:hAnsi="Calibri" w:cs="Times New Roman"/>
                <w:kern w:val="0"/>
                <w:sz w:val="24"/>
                <w:szCs w:val="24"/>
              </w:rPr>
              <w:t>强度疏伐上层干扰树与马尾松，保持下木-间木层以促进干材质量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88" w:type="dxa"/>
            <w:vAlign w:val="center"/>
          </w:tcPr>
          <w:p>
            <w:pPr>
              <w:adjustRightInd w:val="0"/>
              <w:snapToGrid w:val="0"/>
              <w:spacing w:line="240" w:lineRule="auto"/>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4</w:t>
            </w:r>
          </w:p>
        </w:tc>
        <w:tc>
          <w:tcPr>
            <w:tcW w:w="1335" w:type="dxa"/>
            <w:vAlign w:val="center"/>
          </w:tcPr>
          <w:p>
            <w:pPr>
              <w:adjustRightInd w:val="0"/>
              <w:snapToGrid w:val="0"/>
              <w:spacing w:line="240" w:lineRule="auto"/>
              <w:ind w:firstLine="0" w:firstLineChars="0"/>
              <w:jc w:val="left"/>
              <w:rPr>
                <w:rFonts w:ascii="仿宋_GB2312" w:hAnsi="Calibri" w:cs="Times New Roman"/>
                <w:kern w:val="0"/>
                <w:sz w:val="24"/>
                <w:szCs w:val="24"/>
              </w:rPr>
            </w:pPr>
            <w:r>
              <w:rPr>
                <w:rFonts w:hint="eastAsia" w:ascii="仿宋_GB2312" w:hAnsi="Calibri" w:cs="Times New Roman"/>
                <w:kern w:val="0"/>
                <w:sz w:val="24"/>
                <w:szCs w:val="24"/>
              </w:rPr>
              <w:t>乔木林，目标树生长阶段</w:t>
            </w:r>
          </w:p>
        </w:tc>
        <w:tc>
          <w:tcPr>
            <w:tcW w:w="890" w:type="dxa"/>
            <w:vAlign w:val="center"/>
          </w:tcPr>
          <w:p>
            <w:pPr>
              <w:adjustRightInd w:val="0"/>
              <w:snapToGrid w:val="0"/>
              <w:spacing w:line="240" w:lineRule="auto"/>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15-22m</w:t>
            </w:r>
          </w:p>
        </w:tc>
        <w:tc>
          <w:tcPr>
            <w:tcW w:w="6268" w:type="dxa"/>
            <w:vAlign w:val="center"/>
          </w:tcPr>
          <w:p>
            <w:pPr>
              <w:adjustRightInd w:val="0"/>
              <w:snapToGrid w:val="0"/>
              <w:spacing w:line="240" w:lineRule="auto"/>
              <w:ind w:firstLine="0" w:firstLineChars="0"/>
              <w:rPr>
                <w:rFonts w:ascii="仿宋_GB2312" w:hAnsi="Calibri" w:cs="Times New Roman"/>
                <w:kern w:val="0"/>
                <w:sz w:val="24"/>
                <w:szCs w:val="24"/>
              </w:rPr>
            </w:pPr>
            <w:r>
              <w:rPr>
                <w:rFonts w:hint="eastAsia" w:ascii="仿宋_GB2312" w:hAnsi="Calibri" w:cs="Times New Roman"/>
                <w:kern w:val="0"/>
                <w:sz w:val="24"/>
                <w:szCs w:val="24"/>
              </w:rPr>
              <w:t>核心目标是通过抚育促进优势个体生长，提高林下幼树和混交树种的数量和质量</w:t>
            </w:r>
          </w:p>
          <w:p>
            <w:pPr>
              <w:adjustRightInd w:val="0"/>
              <w:snapToGrid w:val="0"/>
              <w:spacing w:line="240" w:lineRule="auto"/>
              <w:ind w:firstLine="0" w:firstLineChars="0"/>
              <w:rPr>
                <w:rFonts w:ascii="仿宋_GB2312" w:hAnsi="Calibri" w:cs="Times New Roman"/>
                <w:kern w:val="0"/>
                <w:sz w:val="24"/>
                <w:szCs w:val="24"/>
              </w:rPr>
            </w:pPr>
            <w:r>
              <w:rPr>
                <w:rFonts w:hint="eastAsia" w:ascii="仿宋_GB2312" w:hAnsi="Calibri" w:cs="Times New Roman"/>
                <w:kern w:val="0"/>
                <w:sz w:val="24"/>
                <w:szCs w:val="24"/>
              </w:rPr>
              <w:t>第1代目标树密度在6-7株/亩左右，其中马尾松不超过5株/亩。</w:t>
            </w:r>
          </w:p>
          <w:p>
            <w:pPr>
              <w:adjustRightInd w:val="0"/>
              <w:snapToGrid w:val="0"/>
              <w:spacing w:line="240" w:lineRule="auto"/>
              <w:ind w:firstLine="0" w:firstLineChars="0"/>
              <w:rPr>
                <w:rFonts w:ascii="仿宋_GB2312" w:hAnsi="Calibri" w:cs="Times New Roman"/>
                <w:kern w:val="0"/>
                <w:sz w:val="24"/>
                <w:szCs w:val="24"/>
              </w:rPr>
            </w:pPr>
            <w:r>
              <w:rPr>
                <w:rFonts w:hint="eastAsia" w:ascii="仿宋_GB2312" w:hAnsi="Calibri" w:cs="Times New Roman"/>
                <w:kern w:val="0"/>
                <w:sz w:val="24"/>
                <w:szCs w:val="24"/>
              </w:rPr>
              <w:t>伐除干扰木和劣质木，形成和保持较大的林木径级差异，保持下木和中间木层生长条件。</w:t>
            </w:r>
          </w:p>
          <w:p>
            <w:pPr>
              <w:adjustRightInd w:val="0"/>
              <w:snapToGrid w:val="0"/>
              <w:spacing w:line="240" w:lineRule="auto"/>
              <w:ind w:firstLine="0" w:firstLineChars="0"/>
              <w:rPr>
                <w:rFonts w:ascii="仿宋_GB2312" w:hAnsi="Calibri" w:cs="Times New Roman"/>
                <w:kern w:val="0"/>
                <w:sz w:val="24"/>
                <w:szCs w:val="24"/>
              </w:rPr>
            </w:pPr>
            <w:r>
              <w:rPr>
                <w:rFonts w:hint="eastAsia" w:ascii="仿宋_GB2312" w:hAnsi="Calibri" w:cs="Times New Roman"/>
                <w:kern w:val="0"/>
                <w:sz w:val="24"/>
                <w:szCs w:val="24"/>
              </w:rPr>
              <w:t>第2代目标树的选择，目标树数量8株/亩左右。</w:t>
            </w:r>
          </w:p>
          <w:p>
            <w:pPr>
              <w:adjustRightInd w:val="0"/>
              <w:snapToGrid w:val="0"/>
              <w:spacing w:line="240" w:lineRule="auto"/>
              <w:ind w:firstLine="0" w:firstLineChars="0"/>
              <w:rPr>
                <w:rFonts w:ascii="仿宋_GB2312" w:hAnsi="Calibri" w:cs="Times New Roman"/>
                <w:kern w:val="0"/>
                <w:sz w:val="24"/>
                <w:szCs w:val="24"/>
              </w:rPr>
            </w:pPr>
            <w:r>
              <w:rPr>
                <w:rFonts w:hint="eastAsia" w:ascii="仿宋_GB2312" w:hAnsi="Calibri" w:cs="Times New Roman"/>
                <w:kern w:val="0"/>
                <w:sz w:val="24"/>
                <w:szCs w:val="24"/>
              </w:rPr>
              <w:t>保护优良结实阔叶母树，抚育目的阔叶树种幼树幼苗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588" w:type="dxa"/>
            <w:vAlign w:val="center"/>
          </w:tcPr>
          <w:p>
            <w:pPr>
              <w:adjustRightInd w:val="0"/>
              <w:snapToGrid w:val="0"/>
              <w:spacing w:line="240" w:lineRule="auto"/>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5</w:t>
            </w:r>
          </w:p>
        </w:tc>
        <w:tc>
          <w:tcPr>
            <w:tcW w:w="1335" w:type="dxa"/>
            <w:vAlign w:val="center"/>
          </w:tcPr>
          <w:p>
            <w:pPr>
              <w:adjustRightInd w:val="0"/>
              <w:snapToGrid w:val="0"/>
              <w:spacing w:line="240" w:lineRule="auto"/>
              <w:ind w:firstLine="0" w:firstLineChars="0"/>
              <w:jc w:val="left"/>
              <w:rPr>
                <w:rFonts w:ascii="仿宋_GB2312" w:hAnsi="Calibri" w:cs="Times New Roman"/>
                <w:kern w:val="0"/>
                <w:sz w:val="24"/>
                <w:szCs w:val="24"/>
              </w:rPr>
            </w:pPr>
            <w:r>
              <w:rPr>
                <w:rFonts w:hint="eastAsia" w:ascii="仿宋_GB2312" w:hAnsi="Calibri" w:cs="Times New Roman"/>
                <w:kern w:val="0"/>
                <w:sz w:val="24"/>
                <w:szCs w:val="24"/>
              </w:rPr>
              <w:t>大径乔木林，林分蓄积生长阶段</w:t>
            </w:r>
          </w:p>
          <w:p>
            <w:pPr>
              <w:adjustRightInd w:val="0"/>
              <w:snapToGrid w:val="0"/>
              <w:spacing w:line="240" w:lineRule="auto"/>
              <w:ind w:firstLine="0" w:firstLineChars="0"/>
              <w:jc w:val="left"/>
              <w:rPr>
                <w:rFonts w:ascii="仿宋_GB2312" w:hAnsi="Calibri" w:cs="Times New Roman"/>
                <w:kern w:val="0"/>
                <w:sz w:val="24"/>
                <w:szCs w:val="24"/>
              </w:rPr>
            </w:pPr>
          </w:p>
        </w:tc>
        <w:tc>
          <w:tcPr>
            <w:tcW w:w="890" w:type="dxa"/>
            <w:vAlign w:val="center"/>
          </w:tcPr>
          <w:p>
            <w:pPr>
              <w:adjustRightInd w:val="0"/>
              <w:snapToGrid w:val="0"/>
              <w:spacing w:line="240" w:lineRule="auto"/>
              <w:ind w:firstLine="0" w:firstLineChars="0"/>
              <w:jc w:val="center"/>
              <w:rPr>
                <w:rFonts w:ascii="仿宋_GB2312" w:hAnsi="Calibri" w:cs="Times New Roman"/>
                <w:kern w:val="0"/>
                <w:sz w:val="24"/>
                <w:szCs w:val="24"/>
              </w:rPr>
            </w:pPr>
            <w:r>
              <w:rPr>
                <w:rFonts w:hint="eastAsia" w:ascii="仿宋_GB2312" w:hAnsi="Calibri" w:cs="Times New Roman"/>
                <w:kern w:val="0"/>
                <w:sz w:val="24"/>
                <w:szCs w:val="24"/>
              </w:rPr>
              <w:t>&gt;22m</w:t>
            </w:r>
          </w:p>
          <w:p>
            <w:pPr>
              <w:adjustRightInd w:val="0"/>
              <w:snapToGrid w:val="0"/>
              <w:spacing w:line="240" w:lineRule="auto"/>
              <w:ind w:firstLine="0" w:firstLineChars="0"/>
              <w:jc w:val="center"/>
              <w:rPr>
                <w:rFonts w:ascii="仿宋_GB2312" w:hAnsi="Calibri" w:cs="Times New Roman"/>
                <w:kern w:val="0"/>
                <w:sz w:val="24"/>
                <w:szCs w:val="24"/>
              </w:rPr>
            </w:pPr>
          </w:p>
        </w:tc>
        <w:tc>
          <w:tcPr>
            <w:tcW w:w="6268" w:type="dxa"/>
            <w:vAlign w:val="center"/>
          </w:tcPr>
          <w:p>
            <w:pPr>
              <w:adjustRightInd w:val="0"/>
              <w:snapToGrid w:val="0"/>
              <w:spacing w:line="240" w:lineRule="auto"/>
              <w:ind w:firstLine="0" w:firstLineChars="0"/>
              <w:rPr>
                <w:rFonts w:ascii="仿宋_GB2312" w:hAnsi="Calibri" w:cs="Times New Roman"/>
                <w:kern w:val="0"/>
                <w:sz w:val="24"/>
                <w:szCs w:val="24"/>
              </w:rPr>
            </w:pPr>
            <w:r>
              <w:rPr>
                <w:rFonts w:hint="eastAsia" w:ascii="仿宋_GB2312" w:hAnsi="Calibri" w:cs="Times New Roman"/>
                <w:kern w:val="0"/>
                <w:sz w:val="24"/>
                <w:szCs w:val="24"/>
              </w:rPr>
              <w:t>核心目标是培育第2代目标树，维护和保持生态服务功能并生产高品质用材</w:t>
            </w:r>
          </w:p>
          <w:p>
            <w:pPr>
              <w:adjustRightInd w:val="0"/>
              <w:snapToGrid w:val="0"/>
              <w:spacing w:line="240" w:lineRule="auto"/>
              <w:ind w:firstLine="0" w:firstLineChars="0"/>
              <w:rPr>
                <w:rFonts w:ascii="仿宋_GB2312" w:hAnsi="Calibri" w:cs="Times New Roman"/>
                <w:kern w:val="0"/>
                <w:sz w:val="24"/>
                <w:szCs w:val="24"/>
              </w:rPr>
            </w:pPr>
            <w:r>
              <w:rPr>
                <w:rFonts w:hint="eastAsia" w:ascii="仿宋_GB2312" w:hAnsi="Calibri" w:cs="Times New Roman"/>
                <w:kern w:val="0"/>
                <w:sz w:val="24"/>
                <w:szCs w:val="24"/>
              </w:rPr>
              <w:t>第1代目标树蓄积生长抚育，达到目标直径的松树以单株形式进行主伐；同时伐除与阔叶树竞争的马尾松中间木和劣质木.</w:t>
            </w:r>
          </w:p>
          <w:p>
            <w:pPr>
              <w:adjustRightInd w:val="0"/>
              <w:snapToGrid w:val="0"/>
              <w:spacing w:line="240" w:lineRule="auto"/>
              <w:ind w:firstLine="0" w:firstLineChars="0"/>
              <w:rPr>
                <w:rFonts w:ascii="仿宋_GB2312" w:hAnsi="Calibri" w:cs="Times New Roman"/>
                <w:kern w:val="0"/>
                <w:sz w:val="24"/>
                <w:szCs w:val="24"/>
              </w:rPr>
            </w:pPr>
            <w:r>
              <w:rPr>
                <w:rFonts w:hint="eastAsia" w:ascii="仿宋_GB2312" w:hAnsi="Calibri" w:cs="Times New Roman"/>
                <w:kern w:val="0"/>
                <w:sz w:val="24"/>
                <w:szCs w:val="24"/>
              </w:rPr>
              <w:t>抚育第2代目标树，林分目标树密度在10株/亩左右，主林层目标树4-5株/亩。</w:t>
            </w:r>
          </w:p>
          <w:p>
            <w:pPr>
              <w:adjustRightInd w:val="0"/>
              <w:snapToGrid w:val="0"/>
              <w:spacing w:line="240" w:lineRule="auto"/>
              <w:ind w:firstLine="0" w:firstLineChars="0"/>
              <w:rPr>
                <w:rFonts w:ascii="仿宋_GB2312" w:hAnsi="Calibri" w:cs="Times New Roman"/>
                <w:kern w:val="0"/>
                <w:sz w:val="24"/>
                <w:szCs w:val="24"/>
              </w:rPr>
            </w:pPr>
            <w:r>
              <w:rPr>
                <w:rFonts w:hint="eastAsia" w:ascii="仿宋_GB2312" w:hAnsi="Calibri" w:cs="Times New Roman"/>
                <w:kern w:val="0"/>
                <w:sz w:val="24"/>
                <w:szCs w:val="24"/>
              </w:rPr>
              <w:t>保护古树和优良阔叶树，抚育目的阔叶树种幼树幼苗。</w:t>
            </w:r>
          </w:p>
        </w:tc>
      </w:tr>
    </w:tbl>
    <w:p>
      <w:pPr>
        <w:ind w:firstLine="640"/>
        <w:rPr>
          <w:rFonts w:ascii="黑体" w:hAnsi="黑体" w:eastAsia="黑体" w:cs="Times New Roman"/>
        </w:rPr>
      </w:pPr>
      <w:r>
        <w:rPr>
          <w:rFonts w:hint="eastAsia" w:ascii="黑体" w:hAnsi="黑体" w:eastAsia="黑体" w:cs="Times New Roman"/>
        </w:rPr>
        <w:t>2实施森林发展类型的当前作业措施设计</w:t>
      </w:r>
    </w:p>
    <w:p>
      <w:pPr>
        <w:ind w:firstLine="643"/>
        <w:rPr>
          <w:rFonts w:ascii="仿宋_GB2312" w:cs="Times New Roman"/>
          <w:bCs/>
          <w:szCs w:val="32"/>
        </w:rPr>
      </w:pPr>
      <w:r>
        <w:rPr>
          <w:rFonts w:hint="eastAsia" w:ascii="仿宋_GB2312" w:cs="Times New Roman"/>
          <w:b/>
          <w:bCs/>
          <w:szCs w:val="32"/>
        </w:rPr>
        <w:t>作业措施设计：</w:t>
      </w:r>
      <w:r>
        <w:rPr>
          <w:rFonts w:hint="eastAsia" w:ascii="仿宋_GB2312" w:cs="Times New Roman"/>
          <w:bCs/>
          <w:szCs w:val="32"/>
        </w:rPr>
        <w:t>按目标树单株抚育作业体系执行，该林分已进入质量选择阶段，林木分化明显，但由于林分总体径级较小，适当增加目标树数量可有利于下一阶段的进一步选择，根据林分现状，先期目标树数量8-10株/亩，其中马尾松目标树株数密度不超过4株/亩，伐除其余马尾松及干扰树、生长势弱的Ⅴ级木和Ⅳ级木，间伐强度30-35%，同时对目标树进行整枝，整枝高度6-8米。积极培育林内枫香、木荷、甜槠等阔叶树种，缺少目的阔叶树种或分布不均时，进行人工补植枫香、栲、栎、润楠、含笑、木莲等树种。</w:t>
      </w:r>
    </w:p>
    <w:p>
      <w:pPr>
        <w:ind w:firstLine="640"/>
        <w:rPr>
          <w:rFonts w:ascii="黑体" w:hAnsi="黑体" w:eastAsia="黑体" w:cs="Times New Roman"/>
        </w:rPr>
      </w:pPr>
      <w:r>
        <w:rPr>
          <w:rFonts w:hint="eastAsia" w:ascii="黑体" w:hAnsi="黑体" w:eastAsia="黑体" w:cs="Times New Roman"/>
        </w:rPr>
        <w:t>3实施森林发展类型的长期作业措施设计</w:t>
      </w:r>
    </w:p>
    <w:p>
      <w:pPr>
        <w:ind w:firstLine="640"/>
        <w:rPr>
          <w:rFonts w:eastAsia="仿宋" w:cs="Times New Roman"/>
          <w:b/>
          <w:bCs/>
          <w:szCs w:val="32"/>
        </w:rPr>
      </w:pPr>
      <w:r>
        <w:rPr>
          <w:rFonts w:hint="eastAsia" w:ascii="仿宋_GB2312" w:cs="Times New Roman"/>
          <w:bCs/>
          <w:szCs w:val="32"/>
        </w:rPr>
        <w:t>长期的小班经营作业法按目标树单株抚育作业体系执行。马尾松目标胸径40厘米,培育周期60年左右，每5年一次促进目标树和阔叶树生长的抚育采伐，直到达到目标胸径的林木出现为一个经营周期。15年后改为以枫香、木荷、甜槠等阔叶树种为目标树，目标胸径40厘米，并具有不同层级幼苗幼树天然更新层。</w:t>
      </w:r>
    </w:p>
    <w:p>
      <w:pPr>
        <w:ind w:firstLine="480"/>
        <w:rPr>
          <w:rFonts w:eastAsia="仿宋" w:cs="Times New Roman"/>
          <w:sz w:val="24"/>
        </w:rPr>
      </w:pPr>
      <w:r>
        <w:rPr>
          <w:rFonts w:eastAsia="仿宋" w:cs="Times New Roman"/>
          <w:sz w:val="24"/>
        </w:rPr>
        <w:br w:type="page"/>
      </w:r>
    </w:p>
    <w:tbl>
      <w:tblPr>
        <w:tblStyle w:val="13"/>
        <w:tblW w:w="9071" w:type="dxa"/>
        <w:jc w:val="center"/>
        <w:tblLayout w:type="fixed"/>
        <w:tblCellMar>
          <w:top w:w="0" w:type="dxa"/>
          <w:left w:w="0" w:type="dxa"/>
          <w:bottom w:w="0" w:type="dxa"/>
          <w:right w:w="0" w:type="dxa"/>
        </w:tblCellMar>
      </w:tblPr>
      <w:tblGrid>
        <w:gridCol w:w="841"/>
        <w:gridCol w:w="295"/>
        <w:gridCol w:w="685"/>
        <w:gridCol w:w="1182"/>
        <w:gridCol w:w="915"/>
        <w:gridCol w:w="822"/>
        <w:gridCol w:w="1110"/>
        <w:gridCol w:w="1605"/>
        <w:gridCol w:w="915"/>
        <w:gridCol w:w="701"/>
      </w:tblGrid>
      <w:tr>
        <w:tblPrEx>
          <w:tblCellMar>
            <w:top w:w="0" w:type="dxa"/>
            <w:left w:w="0" w:type="dxa"/>
            <w:bottom w:w="0" w:type="dxa"/>
            <w:right w:w="0" w:type="dxa"/>
          </w:tblCellMar>
        </w:tblPrEx>
        <w:trPr>
          <w:trHeight w:val="648" w:hRule="atLeast"/>
          <w:jc w:val="center"/>
        </w:trPr>
        <w:tc>
          <w:tcPr>
            <w:tcW w:w="9071" w:type="dxa"/>
            <w:gridSpan w:val="10"/>
            <w:tcBorders>
              <w:top w:val="nil"/>
              <w:left w:val="nil"/>
              <w:bottom w:val="nil"/>
              <w:right w:val="nil"/>
            </w:tcBorders>
            <w:shd w:val="clear" w:color="auto" w:fill="auto"/>
            <w:noWrap/>
            <w:vAlign w:val="center"/>
          </w:tcPr>
          <w:p>
            <w:pPr>
              <w:adjustRightInd w:val="0"/>
              <w:snapToGrid w:val="0"/>
              <w:spacing w:after="156" w:afterLines="50" w:line="640" w:lineRule="exact"/>
              <w:ind w:firstLine="0" w:firstLineChars="0"/>
              <w:jc w:val="center"/>
              <w:rPr>
                <w:rFonts w:ascii="方正小标宋简体" w:eastAsia="方正小标宋简体" w:cs="Times New Roman"/>
                <w:bCs/>
                <w:color w:val="000000"/>
                <w:sz w:val="36"/>
                <w:szCs w:val="36"/>
              </w:rPr>
            </w:pPr>
            <w:r>
              <w:rPr>
                <w:rFonts w:hint="eastAsia" w:ascii="方正小标宋简体" w:eastAsia="方正小标宋简体" w:cs="Times New Roman"/>
                <w:bCs/>
                <w:color w:val="000000"/>
                <w:kern w:val="0"/>
                <w:sz w:val="36"/>
                <w:szCs w:val="36"/>
                <w:lang w:bidi="ar"/>
              </w:rPr>
              <w:t>近期作业设计表</w:t>
            </w:r>
          </w:p>
        </w:tc>
      </w:tr>
      <w:tr>
        <w:tblPrEx>
          <w:tblCellMar>
            <w:top w:w="0" w:type="dxa"/>
            <w:left w:w="0" w:type="dxa"/>
            <w:bottom w:w="0" w:type="dxa"/>
            <w:right w:w="0" w:type="dxa"/>
          </w:tblCellMar>
        </w:tblPrEx>
        <w:trPr>
          <w:trHeight w:val="438" w:hRule="atLeast"/>
          <w:jc w:val="center"/>
        </w:trPr>
        <w:tc>
          <w:tcPr>
            <w:tcW w:w="1136" w:type="dxa"/>
            <w:gridSpan w:val="2"/>
            <w:tcBorders>
              <w:top w:val="nil"/>
              <w:left w:val="nil"/>
              <w:bottom w:val="double" w:color="000000" w:sz="4" w:space="0"/>
              <w:right w:val="nil"/>
            </w:tcBorders>
            <w:shd w:val="clear" w:color="auto" w:fill="auto"/>
            <w:noWrap/>
            <w:vAlign w:val="center"/>
          </w:tcPr>
          <w:p>
            <w:pPr>
              <w:adjustRightInd w:val="0"/>
              <w:snapToGrid w:val="0"/>
              <w:spacing w:line="240" w:lineRule="auto"/>
              <w:ind w:firstLine="0" w:firstLineChars="0"/>
              <w:rPr>
                <w:rFonts w:ascii="仿宋_GB2312" w:cs="Times New Roman"/>
                <w:b/>
                <w:bCs/>
                <w:color w:val="000000"/>
                <w:sz w:val="22"/>
              </w:rPr>
            </w:pPr>
            <w:r>
              <w:rPr>
                <w:rFonts w:hint="eastAsia" w:ascii="仿宋_GB2312" w:cs="Times New Roman"/>
                <w:b/>
                <w:bCs/>
                <w:color w:val="000000"/>
                <w:kern w:val="0"/>
                <w:sz w:val="22"/>
                <w:lang w:bidi="ar"/>
              </w:rPr>
              <w:t>工程名称：</w:t>
            </w:r>
          </w:p>
        </w:tc>
        <w:tc>
          <w:tcPr>
            <w:tcW w:w="1867" w:type="dxa"/>
            <w:gridSpan w:val="2"/>
            <w:tcBorders>
              <w:top w:val="nil"/>
              <w:left w:val="nil"/>
              <w:bottom w:val="double" w:color="000000" w:sz="4" w:space="0"/>
              <w:right w:val="nil"/>
            </w:tcBorders>
            <w:shd w:val="clear" w:color="auto" w:fill="auto"/>
            <w:noWrap/>
            <w:vAlign w:val="center"/>
          </w:tcPr>
          <w:p>
            <w:pPr>
              <w:adjustRightInd w:val="0"/>
              <w:snapToGrid w:val="0"/>
              <w:spacing w:line="240" w:lineRule="auto"/>
              <w:ind w:firstLine="0" w:firstLineChars="0"/>
              <w:rPr>
                <w:rFonts w:ascii="仿宋_GB2312" w:cs="Times New Roman"/>
                <w:color w:val="000000"/>
                <w:sz w:val="22"/>
                <w:u w:val="single"/>
              </w:rPr>
            </w:pPr>
            <w:r>
              <w:rPr>
                <w:rFonts w:hint="eastAsia" w:ascii="仿宋_GB2312" w:cs="Times New Roman"/>
                <w:color w:val="000000"/>
                <w:kern w:val="0"/>
                <w:sz w:val="22"/>
                <w:u w:val="single"/>
                <w:lang w:bidi="ar"/>
              </w:rPr>
              <w:t>珍贵彩色森林</w:t>
            </w:r>
          </w:p>
        </w:tc>
        <w:tc>
          <w:tcPr>
            <w:tcW w:w="915" w:type="dxa"/>
            <w:tcBorders>
              <w:top w:val="nil"/>
              <w:left w:val="nil"/>
              <w:bottom w:val="double" w:color="000000" w:sz="4" w:space="0"/>
              <w:right w:val="nil"/>
            </w:tcBorders>
            <w:shd w:val="clear" w:color="auto" w:fill="auto"/>
            <w:noWrap/>
            <w:vAlign w:val="center"/>
          </w:tcPr>
          <w:p>
            <w:pPr>
              <w:adjustRightInd w:val="0"/>
              <w:snapToGrid w:val="0"/>
              <w:spacing w:line="240" w:lineRule="auto"/>
              <w:ind w:firstLine="0" w:firstLineChars="0"/>
              <w:rPr>
                <w:rFonts w:ascii="仿宋_GB2312" w:cs="Times New Roman"/>
                <w:b/>
                <w:bCs/>
                <w:color w:val="000000"/>
                <w:sz w:val="22"/>
              </w:rPr>
            </w:pPr>
            <w:r>
              <w:rPr>
                <w:rFonts w:hint="eastAsia" w:ascii="仿宋_GB2312" w:cs="Times New Roman"/>
                <w:b/>
                <w:bCs/>
                <w:color w:val="000000"/>
                <w:kern w:val="0"/>
                <w:sz w:val="22"/>
                <w:lang w:bidi="ar"/>
              </w:rPr>
              <w:t>类型：</w:t>
            </w:r>
          </w:p>
        </w:tc>
        <w:tc>
          <w:tcPr>
            <w:tcW w:w="1932" w:type="dxa"/>
            <w:gridSpan w:val="2"/>
            <w:tcBorders>
              <w:top w:val="nil"/>
              <w:left w:val="nil"/>
              <w:bottom w:val="double" w:color="000000" w:sz="4" w:space="0"/>
              <w:right w:val="nil"/>
            </w:tcBorders>
            <w:shd w:val="clear" w:color="auto" w:fill="auto"/>
            <w:noWrap/>
            <w:vAlign w:val="center"/>
          </w:tcPr>
          <w:p>
            <w:pPr>
              <w:adjustRightInd w:val="0"/>
              <w:snapToGrid w:val="0"/>
              <w:spacing w:line="240" w:lineRule="auto"/>
              <w:ind w:firstLine="0" w:firstLineChars="0"/>
              <w:rPr>
                <w:rFonts w:ascii="仿宋_GB2312" w:cs="Times New Roman"/>
                <w:color w:val="000000"/>
                <w:sz w:val="22"/>
                <w:u w:val="single"/>
              </w:rPr>
            </w:pPr>
          </w:p>
        </w:tc>
        <w:tc>
          <w:tcPr>
            <w:tcW w:w="1605" w:type="dxa"/>
            <w:tcBorders>
              <w:top w:val="nil"/>
              <w:left w:val="nil"/>
              <w:bottom w:val="double" w:color="000000" w:sz="4" w:space="0"/>
              <w:right w:val="nil"/>
            </w:tcBorders>
            <w:shd w:val="clear" w:color="auto" w:fill="auto"/>
            <w:noWrap/>
            <w:vAlign w:val="center"/>
          </w:tcPr>
          <w:p>
            <w:pPr>
              <w:adjustRightInd w:val="0"/>
              <w:snapToGrid w:val="0"/>
              <w:spacing w:line="240" w:lineRule="auto"/>
              <w:ind w:firstLine="0" w:firstLineChars="0"/>
              <w:rPr>
                <w:rFonts w:ascii="仿宋_GB2312" w:cs="Times New Roman"/>
                <w:b/>
                <w:bCs/>
                <w:color w:val="000000"/>
                <w:sz w:val="22"/>
              </w:rPr>
            </w:pPr>
            <w:r>
              <w:rPr>
                <w:rFonts w:hint="eastAsia" w:ascii="仿宋_GB2312" w:cs="Times New Roman"/>
                <w:b/>
                <w:bCs/>
                <w:color w:val="000000"/>
                <w:kern w:val="0"/>
                <w:sz w:val="22"/>
                <w:lang w:bidi="ar"/>
              </w:rPr>
              <w:t>编号：</w:t>
            </w:r>
          </w:p>
        </w:tc>
        <w:tc>
          <w:tcPr>
            <w:tcW w:w="1616" w:type="dxa"/>
            <w:gridSpan w:val="2"/>
            <w:tcBorders>
              <w:top w:val="nil"/>
              <w:left w:val="nil"/>
              <w:bottom w:val="double" w:color="000000" w:sz="4" w:space="0"/>
              <w:right w:val="nil"/>
            </w:tcBorders>
            <w:shd w:val="clear" w:color="auto" w:fill="auto"/>
            <w:noWrap/>
            <w:vAlign w:val="center"/>
          </w:tcPr>
          <w:p>
            <w:pPr>
              <w:adjustRightInd w:val="0"/>
              <w:snapToGrid w:val="0"/>
              <w:spacing w:line="240" w:lineRule="auto"/>
              <w:ind w:firstLine="0" w:firstLineChars="0"/>
              <w:rPr>
                <w:rFonts w:ascii="仿宋_GB2312" w:cs="Times New Roman"/>
                <w:color w:val="000000"/>
                <w:sz w:val="22"/>
                <w:u w:val="single"/>
              </w:rPr>
            </w:pPr>
            <w:r>
              <w:rPr>
                <w:rFonts w:hint="eastAsia" w:ascii="仿宋_GB2312" w:cs="Times New Roman"/>
                <w:color w:val="000000"/>
                <w:kern w:val="0"/>
                <w:sz w:val="22"/>
                <w:u w:val="single"/>
                <w:lang w:bidi="ar"/>
              </w:rPr>
              <w:t>SX2018-1</w:t>
            </w:r>
          </w:p>
        </w:tc>
      </w:tr>
      <w:tr>
        <w:tblPrEx>
          <w:tblCellMar>
            <w:top w:w="0" w:type="dxa"/>
            <w:left w:w="0" w:type="dxa"/>
            <w:bottom w:w="0" w:type="dxa"/>
            <w:right w:w="0" w:type="dxa"/>
          </w:tblCellMar>
        </w:tblPrEx>
        <w:trPr>
          <w:trHeight w:val="283" w:hRule="atLeast"/>
          <w:jc w:val="center"/>
        </w:trPr>
        <w:tc>
          <w:tcPr>
            <w:tcW w:w="841" w:type="dxa"/>
            <w:tcBorders>
              <w:top w:val="double" w:color="000000" w:sz="4" w:space="0"/>
              <w:left w:val="doub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r>
              <w:rPr>
                <w:rFonts w:hint="eastAsia" w:ascii="仿宋_GB2312" w:cs="Times New Roman"/>
                <w:b/>
                <w:bCs/>
                <w:color w:val="000000"/>
                <w:kern w:val="0"/>
                <w:sz w:val="22"/>
                <w:lang w:bidi="ar"/>
              </w:rPr>
              <w:t>地点</w:t>
            </w:r>
          </w:p>
        </w:tc>
        <w:tc>
          <w:tcPr>
            <w:tcW w:w="3077" w:type="dxa"/>
            <w:gridSpan w:val="4"/>
            <w:tcBorders>
              <w:top w:val="doub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rPr>
                <w:rFonts w:ascii="仿宋_GB2312" w:cs="Times New Roman"/>
                <w:color w:val="000000"/>
                <w:sz w:val="22"/>
              </w:rPr>
            </w:pPr>
          </w:p>
        </w:tc>
        <w:tc>
          <w:tcPr>
            <w:tcW w:w="822" w:type="dxa"/>
            <w:tcBorders>
              <w:top w:val="doub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rPr>
                <w:rFonts w:ascii="仿宋_GB2312" w:cs="Times New Roman"/>
                <w:color w:val="000000"/>
                <w:sz w:val="22"/>
              </w:rPr>
            </w:pPr>
            <w:r>
              <w:rPr>
                <w:rFonts w:hint="eastAsia" w:ascii="仿宋_GB2312" w:cs="Times New Roman"/>
                <w:color w:val="000000"/>
                <w:kern w:val="0"/>
                <w:sz w:val="22"/>
                <w:lang w:bidi="ar"/>
              </w:rPr>
              <w:t>小班号</w:t>
            </w:r>
          </w:p>
        </w:tc>
        <w:tc>
          <w:tcPr>
            <w:tcW w:w="1110" w:type="dxa"/>
            <w:tcBorders>
              <w:top w:val="doub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rPr>
                <w:rFonts w:ascii="仿宋_GB2312" w:cs="Times New Roman"/>
                <w:color w:val="000000"/>
                <w:kern w:val="0"/>
                <w:sz w:val="22"/>
                <w:lang w:bidi="ar"/>
              </w:rPr>
            </w:pPr>
            <w:r>
              <w:rPr>
                <w:rFonts w:hint="eastAsia" w:ascii="仿宋_GB2312" w:cs="Times New Roman"/>
                <w:color w:val="000000"/>
                <w:kern w:val="0"/>
                <w:sz w:val="22"/>
                <w:lang w:bidi="ar"/>
              </w:rPr>
              <w:t>29、31、33</w:t>
            </w:r>
          </w:p>
        </w:tc>
        <w:tc>
          <w:tcPr>
            <w:tcW w:w="1605" w:type="dxa"/>
            <w:tcBorders>
              <w:top w:val="doub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rPr>
                <w:rFonts w:ascii="仿宋_GB2312" w:cs="Times New Roman"/>
                <w:color w:val="000000"/>
                <w:sz w:val="22"/>
              </w:rPr>
            </w:pPr>
            <w:r>
              <w:rPr>
                <w:rFonts w:hint="eastAsia" w:ascii="仿宋_GB2312" w:cs="Times New Roman"/>
                <w:color w:val="000000"/>
                <w:kern w:val="0"/>
                <w:sz w:val="22"/>
                <w:lang w:bidi="ar"/>
              </w:rPr>
              <w:t>小地名</w:t>
            </w:r>
          </w:p>
        </w:tc>
        <w:tc>
          <w:tcPr>
            <w:tcW w:w="1616" w:type="dxa"/>
            <w:gridSpan w:val="2"/>
            <w:tcBorders>
              <w:top w:val="double" w:color="000000" w:sz="4" w:space="0"/>
              <w:left w:val="single" w:color="000000" w:sz="4" w:space="0"/>
              <w:bottom w:val="single" w:color="000000" w:sz="4" w:space="0"/>
              <w:right w:val="doub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rPr>
                <w:rFonts w:ascii="仿宋_GB2312" w:cs="Times New Roman"/>
                <w:color w:val="000000"/>
                <w:sz w:val="22"/>
              </w:rPr>
            </w:pPr>
            <w:r>
              <w:rPr>
                <w:rFonts w:hint="eastAsia" w:ascii="仿宋_GB2312" w:cs="Times New Roman"/>
                <w:color w:val="000000"/>
                <w:kern w:val="0"/>
                <w:sz w:val="22"/>
                <w:lang w:bidi="ar"/>
              </w:rPr>
              <w:t>桶背</w:t>
            </w:r>
          </w:p>
        </w:tc>
      </w:tr>
      <w:tr>
        <w:tblPrEx>
          <w:tblCellMar>
            <w:top w:w="0" w:type="dxa"/>
            <w:left w:w="0" w:type="dxa"/>
            <w:bottom w:w="0" w:type="dxa"/>
            <w:right w:w="0" w:type="dxa"/>
          </w:tblCellMar>
        </w:tblPrEx>
        <w:trPr>
          <w:trHeight w:val="535" w:hRule="atLeast"/>
          <w:jc w:val="center"/>
        </w:trPr>
        <w:tc>
          <w:tcPr>
            <w:tcW w:w="841" w:type="dxa"/>
            <w:vMerge w:val="restart"/>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r>
              <w:rPr>
                <w:rFonts w:hint="eastAsia" w:ascii="仿宋_GB2312" w:cs="Times New Roman"/>
                <w:b/>
                <w:bCs/>
                <w:color w:val="000000"/>
                <w:kern w:val="0"/>
                <w:sz w:val="22"/>
                <w:lang w:bidi="ar"/>
              </w:rPr>
              <w:t>现状</w:t>
            </w:r>
            <w:r>
              <w:rPr>
                <w:rFonts w:hint="eastAsia" w:ascii="仿宋_GB2312" w:cs="Times New Roman"/>
                <w:b/>
                <w:bCs/>
                <w:color w:val="000000"/>
                <w:kern w:val="0"/>
                <w:sz w:val="22"/>
                <w:lang w:bidi="ar"/>
              </w:rPr>
              <w:br w:type="textWrapping"/>
            </w:r>
            <w:r>
              <w:rPr>
                <w:rFonts w:hint="eastAsia" w:ascii="仿宋_GB2312" w:cs="Times New Roman"/>
                <w:b/>
                <w:bCs/>
                <w:color w:val="000000"/>
                <w:kern w:val="0"/>
                <w:sz w:val="22"/>
                <w:lang w:bidi="ar"/>
              </w:rPr>
              <w:t>因子</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地    貌</w:t>
            </w:r>
          </w:p>
        </w:tc>
        <w:tc>
          <w:tcPr>
            <w:tcW w:w="118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低山</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Style w:val="46"/>
                <w:rFonts w:hint="default" w:ascii="仿宋_GB2312" w:hAnsi="Times New Roman" w:eastAsia="仿宋_GB2312" w:cs="Times New Roman"/>
                <w:lang w:bidi="ar"/>
              </w:rPr>
              <w:t>坡   位</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上部</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坡    向</w:t>
            </w:r>
          </w:p>
        </w:tc>
        <w:tc>
          <w:tcPr>
            <w:tcW w:w="160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南</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Style w:val="46"/>
                <w:rFonts w:hint="default" w:ascii="仿宋_GB2312" w:hAnsi="Times New Roman" w:eastAsia="仿宋_GB2312" w:cs="Times New Roman"/>
                <w:lang w:bidi="ar"/>
              </w:rPr>
              <w:t>坡   度</w:t>
            </w:r>
          </w:p>
        </w:tc>
        <w:tc>
          <w:tcPr>
            <w:tcW w:w="701" w:type="dxa"/>
            <w:tcBorders>
              <w:top w:val="single" w:color="000000" w:sz="4" w:space="0"/>
              <w:left w:val="single" w:color="000000" w:sz="4" w:space="0"/>
              <w:bottom w:val="single" w:color="000000" w:sz="4" w:space="0"/>
              <w:right w:val="doub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斜坡</w:t>
            </w: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海    拔</w:t>
            </w:r>
          </w:p>
        </w:tc>
        <w:tc>
          <w:tcPr>
            <w:tcW w:w="118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500</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土壤</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类型</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黄壤</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土壤厚度</w:t>
            </w:r>
          </w:p>
        </w:tc>
        <w:tc>
          <w:tcPr>
            <w:tcW w:w="160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中</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土壤</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质地</w:t>
            </w:r>
          </w:p>
        </w:tc>
        <w:tc>
          <w:tcPr>
            <w:tcW w:w="701" w:type="dxa"/>
            <w:tcBorders>
              <w:top w:val="single" w:color="000000" w:sz="4" w:space="0"/>
              <w:left w:val="single" w:color="000000" w:sz="4" w:space="0"/>
              <w:bottom w:val="single" w:color="000000" w:sz="4" w:space="0"/>
              <w:right w:val="doub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壤土</w:t>
            </w: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Style w:val="46"/>
                <w:rFonts w:hint="default" w:ascii="仿宋_GB2312" w:hAnsi="Times New Roman" w:eastAsia="仿宋_GB2312" w:cs="Times New Roman"/>
                <w:lang w:bidi="ar"/>
              </w:rPr>
              <w:t>原 地 类</w:t>
            </w:r>
          </w:p>
        </w:tc>
        <w:tc>
          <w:tcPr>
            <w:tcW w:w="118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马尾松林</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起  源</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人工</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平均年龄</w:t>
            </w:r>
          </w:p>
        </w:tc>
        <w:tc>
          <w:tcPr>
            <w:tcW w:w="160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40</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郁闭度</w:t>
            </w:r>
          </w:p>
        </w:tc>
        <w:tc>
          <w:tcPr>
            <w:tcW w:w="701" w:type="dxa"/>
            <w:tcBorders>
              <w:top w:val="single" w:color="000000" w:sz="4" w:space="0"/>
              <w:left w:val="single" w:color="000000" w:sz="4" w:space="0"/>
              <w:bottom w:val="single" w:color="000000" w:sz="4" w:space="0"/>
              <w:right w:val="doub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0.7</w:t>
            </w: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树种组成</w:t>
            </w:r>
          </w:p>
        </w:tc>
        <w:tc>
          <w:tcPr>
            <w:tcW w:w="118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6阔2松2杉</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主要</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树种</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木荷,杉木,马尾松</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平均胸径</w:t>
            </w:r>
          </w:p>
        </w:tc>
        <w:tc>
          <w:tcPr>
            <w:tcW w:w="160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11.8</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平均</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树高</w:t>
            </w:r>
          </w:p>
        </w:tc>
        <w:tc>
          <w:tcPr>
            <w:tcW w:w="701" w:type="dxa"/>
            <w:tcBorders>
              <w:top w:val="single" w:color="000000" w:sz="4" w:space="0"/>
              <w:left w:val="single" w:color="000000" w:sz="4" w:space="0"/>
              <w:bottom w:val="single" w:color="000000" w:sz="4" w:space="0"/>
              <w:right w:val="doub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8</w:t>
            </w: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每亩株数</w:t>
            </w:r>
          </w:p>
        </w:tc>
        <w:tc>
          <w:tcPr>
            <w:tcW w:w="118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137</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每亩</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蓄积</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6.273</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植被种类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灌丛</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覆盖度</w:t>
            </w:r>
          </w:p>
        </w:tc>
        <w:tc>
          <w:tcPr>
            <w:tcW w:w="701" w:type="dxa"/>
            <w:tcBorders>
              <w:top w:val="single" w:color="000000" w:sz="4" w:space="0"/>
              <w:left w:val="single" w:color="000000" w:sz="4" w:space="0"/>
              <w:bottom w:val="single" w:color="000000" w:sz="4" w:space="0"/>
              <w:right w:val="doub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70%</w:t>
            </w:r>
          </w:p>
        </w:tc>
      </w:tr>
      <w:tr>
        <w:tblPrEx>
          <w:tblCellMar>
            <w:top w:w="0" w:type="dxa"/>
            <w:left w:w="0" w:type="dxa"/>
            <w:bottom w:w="0" w:type="dxa"/>
            <w:right w:w="0" w:type="dxa"/>
          </w:tblCellMar>
        </w:tblPrEx>
        <w:trPr>
          <w:trHeight w:val="283" w:hRule="atLeast"/>
          <w:jc w:val="center"/>
        </w:trPr>
        <w:tc>
          <w:tcPr>
            <w:tcW w:w="841" w:type="dxa"/>
            <w:vMerge w:val="restart"/>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r>
              <w:rPr>
                <w:rFonts w:hint="eastAsia" w:ascii="仿宋_GB2312" w:cs="Times New Roman"/>
                <w:b/>
                <w:bCs/>
                <w:color w:val="000000"/>
                <w:kern w:val="0"/>
                <w:sz w:val="22"/>
                <w:lang w:bidi="ar"/>
              </w:rPr>
              <w:t>设计</w:t>
            </w:r>
            <w:r>
              <w:rPr>
                <w:rFonts w:hint="eastAsia" w:ascii="仿宋_GB2312" w:cs="Times New Roman"/>
                <w:b/>
                <w:bCs/>
                <w:color w:val="000000"/>
                <w:kern w:val="0"/>
                <w:sz w:val="22"/>
                <w:lang w:bidi="ar"/>
              </w:rPr>
              <w:br w:type="textWrapping"/>
            </w:r>
            <w:r>
              <w:rPr>
                <w:rFonts w:hint="eastAsia" w:ascii="仿宋_GB2312" w:cs="Times New Roman"/>
                <w:b/>
                <w:bCs/>
                <w:color w:val="000000"/>
                <w:kern w:val="0"/>
                <w:sz w:val="22"/>
                <w:lang w:bidi="ar"/>
              </w:rPr>
              <w:t>内容</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施工面积</w:t>
            </w:r>
          </w:p>
        </w:tc>
        <w:tc>
          <w:tcPr>
            <w:tcW w:w="118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300</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作业</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措施</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间伐＋补植</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规划林种</w:t>
            </w:r>
          </w:p>
        </w:tc>
        <w:tc>
          <w:tcPr>
            <w:tcW w:w="160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用材林</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二级</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林种</w:t>
            </w:r>
          </w:p>
        </w:tc>
        <w:tc>
          <w:tcPr>
            <w:tcW w:w="701" w:type="dxa"/>
            <w:tcBorders>
              <w:top w:val="single" w:color="000000" w:sz="4" w:space="0"/>
              <w:left w:val="single" w:color="000000" w:sz="4" w:space="0"/>
              <w:bottom w:val="single" w:color="000000" w:sz="4" w:space="0"/>
              <w:right w:val="doub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一般用材林</w:t>
            </w: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补植树种</w:t>
            </w:r>
          </w:p>
        </w:tc>
        <w:tc>
          <w:tcPr>
            <w:tcW w:w="118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sz w:val="22"/>
              </w:rPr>
              <w:t>枫香</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sz w:val="22"/>
              </w:rPr>
              <w:t>浙江樟</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初植</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密度</w:t>
            </w:r>
          </w:p>
        </w:tc>
        <w:tc>
          <w:tcPr>
            <w:tcW w:w="701" w:type="dxa"/>
            <w:tcBorders>
              <w:top w:val="single" w:color="000000" w:sz="4" w:space="0"/>
              <w:left w:val="single" w:color="000000" w:sz="4" w:space="0"/>
              <w:bottom w:val="single" w:color="000000" w:sz="4" w:space="0"/>
              <w:right w:val="doub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40</w:t>
            </w: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每亩株树</w:t>
            </w:r>
          </w:p>
        </w:tc>
        <w:tc>
          <w:tcPr>
            <w:tcW w:w="118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sz w:val="22"/>
              </w:rPr>
              <w:t>10</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sz w:val="22"/>
              </w:rPr>
              <w:t>30</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苗木</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数量</w:t>
            </w:r>
          </w:p>
        </w:tc>
        <w:tc>
          <w:tcPr>
            <w:tcW w:w="701" w:type="dxa"/>
            <w:tcBorders>
              <w:top w:val="single" w:color="000000" w:sz="4" w:space="0"/>
              <w:left w:val="single" w:color="000000" w:sz="4" w:space="0"/>
              <w:bottom w:val="single" w:color="000000" w:sz="4" w:space="0"/>
              <w:right w:val="doub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800</w:t>
            </w: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苗木等级</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sz w:val="22"/>
              </w:rPr>
              <w:t>Ⅰ</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sz w:val="22"/>
              </w:rPr>
              <w:t>Ⅱ</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造林</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方式</w:t>
            </w:r>
          </w:p>
        </w:tc>
        <w:tc>
          <w:tcPr>
            <w:tcW w:w="701" w:type="dxa"/>
            <w:tcBorders>
              <w:top w:val="single" w:color="000000" w:sz="4" w:space="0"/>
              <w:left w:val="single" w:color="000000" w:sz="4" w:space="0"/>
              <w:bottom w:val="single" w:color="000000" w:sz="4" w:space="0"/>
              <w:right w:val="doub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随机</w:t>
            </w: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整地方式</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穴状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株行距</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随机</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植穴规格</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50×50×40厘米</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种植</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时间</w:t>
            </w:r>
          </w:p>
        </w:tc>
        <w:tc>
          <w:tcPr>
            <w:tcW w:w="701" w:type="dxa"/>
            <w:tcBorders>
              <w:top w:val="single" w:color="000000" w:sz="4" w:space="0"/>
              <w:left w:val="single" w:color="000000" w:sz="4" w:space="0"/>
              <w:bottom w:val="single" w:color="000000" w:sz="4" w:space="0"/>
              <w:right w:val="doub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2019.3</w:t>
            </w: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基肥种类</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基肥</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用量</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抚育方式</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松土＋施肥</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抚育</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对象</w:t>
            </w:r>
          </w:p>
        </w:tc>
        <w:tc>
          <w:tcPr>
            <w:tcW w:w="701" w:type="dxa"/>
            <w:tcBorders>
              <w:top w:val="single" w:color="000000" w:sz="4" w:space="0"/>
              <w:left w:val="single" w:color="000000" w:sz="4" w:space="0"/>
              <w:bottom w:val="single" w:color="000000" w:sz="4" w:space="0"/>
              <w:right w:val="doub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新植</w:t>
            </w: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扩穴规格</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施肥</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用量</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抚育次数</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抚育</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时间</w:t>
            </w:r>
          </w:p>
        </w:tc>
        <w:tc>
          <w:tcPr>
            <w:tcW w:w="701" w:type="dxa"/>
            <w:tcBorders>
              <w:top w:val="single" w:color="000000" w:sz="4" w:space="0"/>
              <w:left w:val="single" w:color="000000" w:sz="4" w:space="0"/>
              <w:bottom w:val="single" w:color="000000" w:sz="4" w:space="0"/>
              <w:right w:val="doub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p>
        </w:tc>
      </w:tr>
      <w:tr>
        <w:tblPrEx>
          <w:tblCellMar>
            <w:top w:w="0" w:type="dxa"/>
            <w:left w:w="0" w:type="dxa"/>
            <w:bottom w:w="0" w:type="dxa"/>
            <w:right w:w="0" w:type="dxa"/>
          </w:tblCellMar>
        </w:tblPrEx>
        <w:trPr>
          <w:trHeight w:val="283" w:hRule="atLeast"/>
          <w:jc w:val="center"/>
        </w:trPr>
        <w:tc>
          <w:tcPr>
            <w:tcW w:w="841" w:type="dxa"/>
            <w:vMerge w:val="continue"/>
            <w:tcBorders>
              <w:top w:val="single" w:color="000000" w:sz="4" w:space="0"/>
              <w:left w:val="doub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b/>
                <w:bCs/>
                <w:color w:val="000000"/>
                <w:sz w:val="22"/>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蓄积强度</w:t>
            </w:r>
          </w:p>
        </w:tc>
        <w:tc>
          <w:tcPr>
            <w:tcW w:w="118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20.80%</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kern w:val="0"/>
                <w:sz w:val="22"/>
                <w:lang w:bidi="ar"/>
              </w:rPr>
            </w:pPr>
            <w:r>
              <w:rPr>
                <w:rFonts w:hint="eastAsia" w:ascii="仿宋_GB2312" w:cs="Times New Roman"/>
                <w:color w:val="000000"/>
                <w:kern w:val="0"/>
                <w:sz w:val="22"/>
                <w:lang w:bidi="ar"/>
              </w:rPr>
              <w:t>株树</w:t>
            </w:r>
          </w:p>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强度</w:t>
            </w:r>
          </w:p>
        </w:tc>
        <w:tc>
          <w:tcPr>
            <w:tcW w:w="822"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30.30%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Style w:val="47"/>
                <w:rFonts w:hint="default" w:ascii="仿宋_GB2312" w:hAnsi="Times New Roman" w:eastAsia="仿宋_GB2312" w:cs="Times New Roman"/>
                <w:lang w:bidi="ar"/>
              </w:rPr>
              <w:t>采伐量(m</w:t>
            </w:r>
            <w:r>
              <w:rPr>
                <w:rStyle w:val="48"/>
                <w:rFonts w:hint="default" w:ascii="仿宋_GB2312" w:hAnsi="Times New Roman" w:eastAsia="仿宋_GB2312" w:cs="Times New Roman"/>
                <w:lang w:bidi="ar"/>
              </w:rPr>
              <w:t>3</w:t>
            </w:r>
            <w:r>
              <w:rPr>
                <w:rStyle w:val="47"/>
                <w:rFonts w:hint="default" w:ascii="仿宋_GB2312" w:hAnsi="Times New Roman" w:eastAsia="仿宋_GB2312" w:cs="Times New Roman"/>
                <w:lang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391.43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投资额</w:t>
            </w:r>
          </w:p>
        </w:tc>
        <w:tc>
          <w:tcPr>
            <w:tcW w:w="701" w:type="dxa"/>
            <w:tcBorders>
              <w:top w:val="single" w:color="000000" w:sz="4" w:space="0"/>
              <w:left w:val="single" w:color="000000" w:sz="4" w:space="0"/>
              <w:bottom w:val="single" w:color="000000" w:sz="4" w:space="0"/>
              <w:right w:val="double" w:color="000000" w:sz="4" w:space="0"/>
            </w:tcBorders>
            <w:shd w:val="clear" w:color="auto" w:fill="auto"/>
            <w:noWrap/>
            <w:tcMar>
              <w:top w:w="0" w:type="dxa"/>
              <w:left w:w="0" w:type="dxa"/>
              <w:bottom w:w="0" w:type="dxa"/>
              <w:right w:w="0" w:type="dxa"/>
            </w:tcMar>
            <w:vAlign w:val="center"/>
          </w:tcPr>
          <w:p>
            <w:pPr>
              <w:adjustRightInd w:val="0"/>
              <w:snapToGrid w:val="0"/>
              <w:spacing w:line="240" w:lineRule="auto"/>
              <w:ind w:firstLine="0" w:firstLineChars="0"/>
              <w:jc w:val="center"/>
              <w:rPr>
                <w:rFonts w:ascii="仿宋_GB2312" w:cs="Times New Roman"/>
                <w:color w:val="000000"/>
                <w:sz w:val="22"/>
              </w:rPr>
            </w:pPr>
            <w:r>
              <w:rPr>
                <w:rFonts w:hint="eastAsia" w:ascii="仿宋_GB2312" w:cs="Times New Roman"/>
                <w:color w:val="000000"/>
                <w:kern w:val="0"/>
                <w:sz w:val="22"/>
                <w:lang w:bidi="ar"/>
              </w:rPr>
              <w:t>50.22</w:t>
            </w:r>
          </w:p>
        </w:tc>
      </w:tr>
      <w:tr>
        <w:tblPrEx>
          <w:tblCellMar>
            <w:top w:w="0" w:type="dxa"/>
            <w:left w:w="0" w:type="dxa"/>
            <w:bottom w:w="0" w:type="dxa"/>
            <w:right w:w="0" w:type="dxa"/>
          </w:tblCellMar>
        </w:tblPrEx>
        <w:trPr>
          <w:trHeight w:val="1268" w:hRule="atLeast"/>
          <w:jc w:val="center"/>
        </w:trPr>
        <w:tc>
          <w:tcPr>
            <w:tcW w:w="841" w:type="dxa"/>
            <w:tcBorders>
              <w:top w:val="single" w:color="000000" w:sz="4" w:space="0"/>
              <w:left w:val="double" w:color="000000" w:sz="4" w:space="0"/>
              <w:bottom w:val="single" w:color="000000" w:sz="4" w:space="0"/>
              <w:right w:val="single" w:color="000000" w:sz="4" w:space="0"/>
            </w:tcBorders>
            <w:shd w:val="clear" w:color="auto" w:fill="auto"/>
            <w:vAlign w:val="center"/>
          </w:tcPr>
          <w:p>
            <w:pPr>
              <w:adjustRightInd w:val="0"/>
              <w:snapToGrid w:val="0"/>
              <w:spacing w:line="240" w:lineRule="auto"/>
              <w:ind w:firstLine="0" w:firstLineChars="0"/>
              <w:jc w:val="center"/>
              <w:rPr>
                <w:rFonts w:ascii="仿宋_GB2312" w:cs="Times New Roman"/>
                <w:b/>
                <w:bCs/>
                <w:color w:val="000000"/>
                <w:sz w:val="22"/>
              </w:rPr>
            </w:pPr>
            <w:r>
              <w:rPr>
                <w:rFonts w:hint="eastAsia" w:ascii="仿宋_GB2312" w:cs="Times New Roman"/>
                <w:b/>
                <w:bCs/>
                <w:color w:val="000000"/>
                <w:kern w:val="0"/>
                <w:sz w:val="22"/>
                <w:lang w:bidi="ar"/>
              </w:rPr>
              <w:t>设计</w:t>
            </w:r>
            <w:r>
              <w:rPr>
                <w:rFonts w:hint="eastAsia" w:ascii="仿宋_GB2312" w:cs="Times New Roman"/>
                <w:b/>
                <w:bCs/>
                <w:color w:val="000000"/>
                <w:kern w:val="0"/>
                <w:sz w:val="22"/>
                <w:lang w:bidi="ar"/>
              </w:rPr>
              <w:br w:type="textWrapping"/>
            </w:r>
            <w:r>
              <w:rPr>
                <w:rFonts w:hint="eastAsia" w:ascii="仿宋_GB2312" w:cs="Times New Roman"/>
                <w:b/>
                <w:bCs/>
                <w:color w:val="000000"/>
                <w:kern w:val="0"/>
                <w:sz w:val="22"/>
                <w:lang w:bidi="ar"/>
              </w:rPr>
              <w:t>图纸</w:t>
            </w:r>
          </w:p>
        </w:tc>
        <w:tc>
          <w:tcPr>
            <w:tcW w:w="8230" w:type="dxa"/>
            <w:gridSpan w:val="9"/>
            <w:tcBorders>
              <w:top w:val="single" w:color="000000" w:sz="4" w:space="0"/>
              <w:left w:val="single" w:color="000000" w:sz="4" w:space="0"/>
              <w:bottom w:val="single" w:color="000000" w:sz="4" w:space="0"/>
              <w:right w:val="double" w:color="000000" w:sz="4" w:space="0"/>
            </w:tcBorders>
            <w:shd w:val="clear" w:color="auto" w:fill="auto"/>
            <w:noWrap/>
            <w:vAlign w:val="center"/>
          </w:tcPr>
          <w:p>
            <w:pPr>
              <w:adjustRightInd w:val="0"/>
              <w:snapToGrid w:val="0"/>
              <w:spacing w:line="240" w:lineRule="auto"/>
              <w:ind w:firstLine="0" w:firstLineChars="0"/>
              <w:rPr>
                <w:rFonts w:ascii="仿宋_GB2312" w:cs="Times New Roman"/>
                <w:color w:val="000000"/>
                <w:sz w:val="22"/>
              </w:rPr>
            </w:pPr>
          </w:p>
        </w:tc>
      </w:tr>
      <w:tr>
        <w:tblPrEx>
          <w:tblCellMar>
            <w:top w:w="0" w:type="dxa"/>
            <w:left w:w="0" w:type="dxa"/>
            <w:bottom w:w="0" w:type="dxa"/>
            <w:right w:w="0" w:type="dxa"/>
          </w:tblCellMar>
        </w:tblPrEx>
        <w:trPr>
          <w:trHeight w:val="2224" w:hRule="atLeast"/>
          <w:jc w:val="center"/>
        </w:trPr>
        <w:tc>
          <w:tcPr>
            <w:tcW w:w="841" w:type="dxa"/>
            <w:tcBorders>
              <w:top w:val="single" w:color="000000" w:sz="4" w:space="0"/>
              <w:left w:val="double" w:color="000000" w:sz="4" w:space="0"/>
              <w:bottom w:val="double" w:color="000000" w:sz="4" w:space="0"/>
              <w:right w:val="single" w:color="000000" w:sz="4" w:space="0"/>
            </w:tcBorders>
            <w:shd w:val="clear" w:color="auto" w:fill="auto"/>
            <w:vAlign w:val="center"/>
          </w:tcPr>
          <w:p>
            <w:pPr>
              <w:adjustRightInd w:val="0"/>
              <w:snapToGrid w:val="0"/>
              <w:spacing w:line="240" w:lineRule="auto"/>
              <w:ind w:firstLine="0" w:firstLineChars="0"/>
              <w:jc w:val="center"/>
              <w:rPr>
                <w:rFonts w:ascii="仿宋_GB2312" w:cs="Times New Roman"/>
                <w:b/>
                <w:bCs/>
                <w:color w:val="000000"/>
                <w:kern w:val="0"/>
                <w:sz w:val="22"/>
                <w:lang w:bidi="ar"/>
              </w:rPr>
            </w:pPr>
            <w:r>
              <w:rPr>
                <w:rFonts w:hint="eastAsia" w:ascii="仿宋_GB2312" w:cs="Times New Roman"/>
                <w:b/>
                <w:bCs/>
                <w:color w:val="000000"/>
                <w:kern w:val="0"/>
                <w:sz w:val="22"/>
                <w:lang w:bidi="ar"/>
              </w:rPr>
              <w:br w:type="textWrapping"/>
            </w:r>
            <w:r>
              <w:rPr>
                <w:rFonts w:hint="eastAsia" w:ascii="仿宋_GB2312" w:cs="Times New Roman"/>
                <w:b/>
                <w:bCs/>
                <w:color w:val="000000"/>
                <w:kern w:val="0"/>
                <w:sz w:val="22"/>
                <w:lang w:bidi="ar"/>
              </w:rPr>
              <w:t>技术</w:t>
            </w:r>
          </w:p>
          <w:p>
            <w:pPr>
              <w:adjustRightInd w:val="0"/>
              <w:snapToGrid w:val="0"/>
              <w:spacing w:line="240" w:lineRule="auto"/>
              <w:ind w:firstLine="0" w:firstLineChars="0"/>
              <w:jc w:val="center"/>
              <w:rPr>
                <w:rFonts w:ascii="仿宋_GB2312" w:cs="Times New Roman"/>
                <w:b/>
                <w:bCs/>
                <w:color w:val="000000"/>
                <w:sz w:val="22"/>
              </w:rPr>
            </w:pPr>
            <w:r>
              <w:rPr>
                <w:rFonts w:hint="eastAsia" w:ascii="仿宋_GB2312" w:cs="Times New Roman"/>
                <w:b/>
                <w:bCs/>
                <w:color w:val="000000"/>
                <w:kern w:val="0"/>
                <w:sz w:val="22"/>
                <w:lang w:bidi="ar"/>
              </w:rPr>
              <w:t>要点</w:t>
            </w:r>
          </w:p>
        </w:tc>
        <w:tc>
          <w:tcPr>
            <w:tcW w:w="8230" w:type="dxa"/>
            <w:gridSpan w:val="9"/>
            <w:tcBorders>
              <w:top w:val="single" w:color="000000" w:sz="4" w:space="0"/>
              <w:left w:val="single" w:color="000000" w:sz="4" w:space="0"/>
              <w:bottom w:val="double" w:color="000000" w:sz="4" w:space="0"/>
              <w:right w:val="double" w:color="000000" w:sz="4" w:space="0"/>
            </w:tcBorders>
            <w:shd w:val="clear" w:color="auto" w:fill="auto"/>
            <w:vAlign w:val="center"/>
          </w:tcPr>
          <w:p>
            <w:pPr>
              <w:adjustRightInd w:val="0"/>
              <w:snapToGrid w:val="0"/>
              <w:spacing w:line="240" w:lineRule="auto"/>
              <w:ind w:firstLine="0" w:firstLineChars="0"/>
              <w:rPr>
                <w:rFonts w:ascii="仿宋_GB2312" w:cs="Times New Roman"/>
                <w:color w:val="000000"/>
                <w:sz w:val="22"/>
              </w:rPr>
            </w:pPr>
            <w:r>
              <w:rPr>
                <w:rFonts w:hint="eastAsia" w:ascii="仿宋_GB2312" w:cs="Times New Roman"/>
                <w:color w:val="000000"/>
                <w:sz w:val="22"/>
              </w:rPr>
              <w:t>（1）苗木Ⅰ为1年生容器苗或裸根苗，Ⅱ为2-3年生容器苗；</w:t>
            </w:r>
          </w:p>
          <w:p>
            <w:pPr>
              <w:adjustRightInd w:val="0"/>
              <w:snapToGrid w:val="0"/>
              <w:spacing w:line="240" w:lineRule="auto"/>
              <w:ind w:firstLine="0" w:firstLineChars="0"/>
              <w:rPr>
                <w:rFonts w:ascii="仿宋_GB2312" w:cs="Times New Roman"/>
                <w:color w:val="000000"/>
                <w:sz w:val="22"/>
              </w:rPr>
            </w:pPr>
            <w:r>
              <w:rPr>
                <w:rFonts w:hint="eastAsia" w:ascii="仿宋_GB2312" w:cs="Times New Roman"/>
                <w:color w:val="000000"/>
                <w:sz w:val="22"/>
              </w:rPr>
              <w:t>（2）间伐对象马尾松、杉木及丛状阔叶树；</w:t>
            </w:r>
          </w:p>
          <w:p>
            <w:pPr>
              <w:adjustRightInd w:val="0"/>
              <w:snapToGrid w:val="0"/>
              <w:spacing w:line="240" w:lineRule="auto"/>
              <w:ind w:firstLine="0" w:firstLineChars="0"/>
              <w:rPr>
                <w:rFonts w:ascii="仿宋_GB2312" w:cs="Times New Roman"/>
                <w:color w:val="000000"/>
                <w:sz w:val="22"/>
              </w:rPr>
            </w:pPr>
            <w:r>
              <w:rPr>
                <w:rFonts w:hint="eastAsia" w:ascii="仿宋_GB2312" w:cs="Times New Roman"/>
                <w:color w:val="000000"/>
                <w:sz w:val="22"/>
              </w:rPr>
              <w:t>（3）每亩可保留3-4株马尾松优势木作为目标树；</w:t>
            </w:r>
          </w:p>
          <w:p>
            <w:pPr>
              <w:adjustRightInd w:val="0"/>
              <w:snapToGrid w:val="0"/>
              <w:spacing w:line="240" w:lineRule="auto"/>
              <w:ind w:firstLine="0" w:firstLineChars="0"/>
              <w:rPr>
                <w:rFonts w:ascii="仿宋_GB2312" w:cs="Times New Roman"/>
                <w:color w:val="000000"/>
                <w:sz w:val="22"/>
              </w:rPr>
            </w:pPr>
            <w:r>
              <w:rPr>
                <w:rFonts w:hint="eastAsia" w:ascii="仿宋_GB2312" w:cs="Times New Roman"/>
                <w:color w:val="000000"/>
                <w:sz w:val="22"/>
              </w:rPr>
              <w:t>（4）补植方式为自然配置。</w:t>
            </w:r>
          </w:p>
        </w:tc>
      </w:tr>
    </w:tbl>
    <w:p>
      <w:pPr>
        <w:ind w:firstLine="0" w:firstLineChars="0"/>
        <w:rPr>
          <w:rFonts w:cs="Times New Roman"/>
        </w:rPr>
        <w:sectPr>
          <w:pgSz w:w="11906" w:h="16838"/>
          <w:pgMar w:top="1928" w:right="1304" w:bottom="1531" w:left="1531" w:header="851" w:footer="1474" w:gutter="0"/>
          <w:cols w:space="425" w:num="1"/>
          <w:docGrid w:type="lines" w:linePitch="312" w:charSpace="0"/>
        </w:sectPr>
      </w:pPr>
    </w:p>
    <w:p>
      <w:pPr>
        <w:pStyle w:val="2"/>
        <w:spacing w:before="0" w:after="0"/>
        <w:ind w:firstLine="0" w:firstLineChars="0"/>
        <w:rPr>
          <w:rFonts w:ascii="方正小标宋简体" w:eastAsia="方正小标宋简体" w:cs="Times New Roman"/>
          <w:b w:val="0"/>
          <w:sz w:val="44"/>
        </w:rPr>
      </w:pPr>
      <w:bookmarkStart w:id="18" w:name="_Toc80367066"/>
      <w:r>
        <w:rPr>
          <w:rFonts w:hint="eastAsia" w:ascii="方正小标宋简体" w:eastAsia="方正小标宋简体" w:cs="Times New Roman"/>
          <w:b w:val="0"/>
          <w:sz w:val="44"/>
        </w:rPr>
        <w:t>五、木本油料抚育建设指导意见</w:t>
      </w:r>
      <w:bookmarkEnd w:id="18"/>
    </w:p>
    <w:p>
      <w:pPr>
        <w:ind w:firstLine="640"/>
        <w:rPr>
          <w:rFonts w:ascii="仿宋_GB2312"/>
          <w:szCs w:val="32"/>
        </w:rPr>
      </w:pPr>
    </w:p>
    <w:p>
      <w:pPr>
        <w:ind w:firstLine="640"/>
        <w:rPr>
          <w:rFonts w:ascii="黑体" w:hAnsi="黑体" w:eastAsia="黑体" w:cs="Times New Roman"/>
          <w:szCs w:val="32"/>
        </w:rPr>
      </w:pPr>
      <w:r>
        <w:rPr>
          <w:rFonts w:hint="eastAsia" w:ascii="黑体" w:hAnsi="黑体" w:eastAsia="黑体" w:cs="Times New Roman"/>
          <w:szCs w:val="32"/>
        </w:rPr>
        <w:t>1范围</w:t>
      </w:r>
    </w:p>
    <w:p>
      <w:pPr>
        <w:ind w:firstLine="640"/>
        <w:rPr>
          <w:rFonts w:ascii="仿宋_GB2312" w:cs="Times New Roman"/>
          <w:szCs w:val="32"/>
        </w:rPr>
      </w:pPr>
      <w:r>
        <w:rPr>
          <w:rFonts w:hint="eastAsia" w:ascii="仿宋_GB2312" w:cs="Times New Roman"/>
          <w:szCs w:val="32"/>
        </w:rPr>
        <w:t>本指导意见规定了油茶、香榧、山核桃、薄壳山核桃等四种木本油料抚育的适用对象、基本要求、控制指标、验收要求。</w:t>
      </w:r>
    </w:p>
    <w:p>
      <w:pPr>
        <w:ind w:firstLine="640"/>
        <w:rPr>
          <w:rFonts w:ascii="黑体" w:hAnsi="黑体" w:eastAsia="黑体" w:cs="Times New Roman"/>
          <w:szCs w:val="32"/>
        </w:rPr>
      </w:pPr>
      <w:r>
        <w:rPr>
          <w:rFonts w:hint="eastAsia" w:ascii="黑体" w:hAnsi="黑体" w:eastAsia="黑体" w:cs="Times New Roman"/>
          <w:szCs w:val="32"/>
        </w:rPr>
        <w:t>2规范性引用文件</w:t>
      </w:r>
    </w:p>
    <w:p>
      <w:pPr>
        <w:ind w:firstLine="640"/>
        <w:rPr>
          <w:rFonts w:ascii="仿宋_GB2312" w:cs="Times New Roman"/>
          <w:szCs w:val="32"/>
        </w:rPr>
      </w:pPr>
      <w:r>
        <w:rPr>
          <w:rFonts w:hint="eastAsia" w:ascii="仿宋_GB2312" w:cs="Times New Roman"/>
          <w:szCs w:val="32"/>
        </w:rPr>
        <w:t>下列文件对于本文件的应用是必不可少的。凡是注日期的引用文件，仅所注日期的版本适用于本文件。凡是不注日期的引用文件，其最新版本（包括所有的修改单）适用于本文件。</w:t>
      </w:r>
    </w:p>
    <w:p>
      <w:pPr>
        <w:ind w:firstLine="640"/>
        <w:rPr>
          <w:rFonts w:ascii="仿宋_GB2312" w:cs="Times New Roman"/>
          <w:szCs w:val="32"/>
        </w:rPr>
      </w:pPr>
      <w:r>
        <w:rPr>
          <w:rFonts w:hint="eastAsia" w:ascii="仿宋_GB2312" w:cs="Times New Roman"/>
          <w:szCs w:val="32"/>
        </w:rPr>
        <w:t>DB 33/T 525.2-2013 油茶丰产栽培技术规程</w:t>
      </w:r>
    </w:p>
    <w:p>
      <w:pPr>
        <w:ind w:firstLine="640"/>
        <w:rPr>
          <w:rFonts w:ascii="仿宋_GB2312" w:cs="Times New Roman"/>
          <w:szCs w:val="32"/>
        </w:rPr>
      </w:pPr>
      <w:r>
        <w:rPr>
          <w:rFonts w:hint="eastAsia" w:ascii="仿宋_GB2312" w:cs="Times New Roman"/>
          <w:szCs w:val="32"/>
        </w:rPr>
        <w:t>DB 33/T 340-2012 香榧栽培技术规程</w:t>
      </w:r>
    </w:p>
    <w:p>
      <w:pPr>
        <w:ind w:firstLine="640"/>
        <w:rPr>
          <w:rFonts w:ascii="仿宋_GB2312" w:cs="Times New Roman"/>
          <w:szCs w:val="32"/>
        </w:rPr>
      </w:pPr>
      <w:r>
        <w:rPr>
          <w:rFonts w:hint="eastAsia" w:ascii="仿宋_GB2312" w:cs="Times New Roman"/>
          <w:szCs w:val="32"/>
        </w:rPr>
        <w:t>DB 33/T 222-2021 山核桃栽培技术规程</w:t>
      </w:r>
    </w:p>
    <w:p>
      <w:pPr>
        <w:ind w:firstLine="640"/>
        <w:rPr>
          <w:rFonts w:ascii="仿宋_GB2312" w:cs="Times New Roman"/>
          <w:szCs w:val="32"/>
        </w:rPr>
      </w:pPr>
      <w:r>
        <w:rPr>
          <w:rFonts w:hint="eastAsia" w:ascii="仿宋_GB2312" w:cs="Times New Roman"/>
          <w:szCs w:val="32"/>
        </w:rPr>
        <w:t>DB 33/T 2077-2017 薄壳山核桃生产技术规程</w:t>
      </w:r>
    </w:p>
    <w:p>
      <w:pPr>
        <w:ind w:firstLine="640"/>
        <w:rPr>
          <w:rFonts w:ascii="黑体" w:hAnsi="黑体" w:eastAsia="黑体" w:cs="Times New Roman"/>
          <w:szCs w:val="32"/>
        </w:rPr>
      </w:pPr>
      <w:r>
        <w:rPr>
          <w:rFonts w:hint="eastAsia" w:ascii="黑体" w:hAnsi="黑体" w:eastAsia="黑体" w:cs="Times New Roman"/>
          <w:szCs w:val="32"/>
        </w:rPr>
        <w:t>3适用对象</w:t>
      </w:r>
    </w:p>
    <w:p>
      <w:pPr>
        <w:ind w:firstLine="640"/>
        <w:rPr>
          <w:rFonts w:ascii="仿宋_GB2312" w:cs="Times New Roman"/>
          <w:szCs w:val="32"/>
        </w:rPr>
      </w:pPr>
      <w:r>
        <w:rPr>
          <w:rFonts w:hint="eastAsia" w:ascii="仿宋_GB2312" w:cs="Times New Roman"/>
          <w:szCs w:val="32"/>
        </w:rPr>
        <w:t>（1）油茶新造林；</w:t>
      </w:r>
    </w:p>
    <w:p>
      <w:pPr>
        <w:ind w:firstLine="640"/>
        <w:rPr>
          <w:rFonts w:ascii="仿宋_GB2312" w:cs="Times New Roman"/>
          <w:szCs w:val="32"/>
        </w:rPr>
      </w:pPr>
      <w:r>
        <w:rPr>
          <w:rFonts w:hint="eastAsia" w:ascii="仿宋_GB2312" w:cs="Times New Roman"/>
          <w:szCs w:val="32"/>
        </w:rPr>
        <w:t>（2）油茶成龄林；</w:t>
      </w:r>
    </w:p>
    <w:p>
      <w:pPr>
        <w:ind w:firstLine="640"/>
        <w:rPr>
          <w:rFonts w:ascii="仿宋_GB2312" w:cs="Times New Roman"/>
          <w:szCs w:val="32"/>
        </w:rPr>
      </w:pPr>
      <w:r>
        <w:rPr>
          <w:rFonts w:hint="eastAsia" w:ascii="仿宋_GB2312" w:cs="Times New Roman"/>
          <w:szCs w:val="32"/>
        </w:rPr>
        <w:t>（3）香榧新造林；</w:t>
      </w:r>
    </w:p>
    <w:p>
      <w:pPr>
        <w:ind w:firstLine="640"/>
        <w:rPr>
          <w:rFonts w:ascii="仿宋_GB2312" w:cs="Times New Roman"/>
          <w:szCs w:val="32"/>
        </w:rPr>
      </w:pPr>
      <w:r>
        <w:rPr>
          <w:rFonts w:hint="eastAsia" w:ascii="仿宋_GB2312" w:cs="Times New Roman"/>
          <w:szCs w:val="32"/>
        </w:rPr>
        <w:t>（4）山核桃（薄壳山核桃）新造林。</w:t>
      </w:r>
    </w:p>
    <w:p>
      <w:pPr>
        <w:ind w:firstLine="640"/>
        <w:rPr>
          <w:rFonts w:ascii="黑体" w:hAnsi="黑体" w:eastAsia="黑体" w:cs="Times New Roman"/>
          <w:szCs w:val="32"/>
        </w:rPr>
      </w:pPr>
      <w:r>
        <w:rPr>
          <w:rFonts w:hint="eastAsia" w:ascii="黑体" w:hAnsi="黑体" w:eastAsia="黑体" w:cs="Times New Roman"/>
          <w:szCs w:val="32"/>
        </w:rPr>
        <w:t>4基本要求</w:t>
      </w:r>
    </w:p>
    <w:p>
      <w:pPr>
        <w:ind w:firstLine="640"/>
        <w:rPr>
          <w:rFonts w:ascii="仿宋_GB2312" w:cs="Times New Roman"/>
          <w:szCs w:val="32"/>
        </w:rPr>
      </w:pPr>
      <w:r>
        <w:rPr>
          <w:rFonts w:hint="eastAsia" w:ascii="仿宋_GB2312" w:cs="Times New Roman"/>
          <w:szCs w:val="32"/>
        </w:rPr>
        <w:t>（1）制定抚育管理实施方案，实行项目负责人负责制，落实专人做好技术服务和过程监管。</w:t>
      </w:r>
    </w:p>
    <w:p>
      <w:pPr>
        <w:ind w:firstLine="640"/>
        <w:rPr>
          <w:rFonts w:ascii="仿宋_GB2312" w:cs="Times New Roman"/>
          <w:szCs w:val="32"/>
        </w:rPr>
      </w:pPr>
      <w:r>
        <w:rPr>
          <w:rFonts w:hint="eastAsia" w:ascii="仿宋_GB2312" w:cs="Times New Roman"/>
          <w:szCs w:val="32"/>
        </w:rPr>
        <w:t>（2）建立健全项目档案管理制度。</w:t>
      </w:r>
    </w:p>
    <w:p>
      <w:pPr>
        <w:ind w:firstLine="640"/>
        <w:rPr>
          <w:rFonts w:ascii="仿宋_GB2312" w:cs="Times New Roman"/>
          <w:szCs w:val="32"/>
        </w:rPr>
      </w:pPr>
      <w:r>
        <w:rPr>
          <w:rFonts w:hint="eastAsia" w:ascii="仿宋_GB2312" w:cs="Times New Roman"/>
          <w:szCs w:val="32"/>
        </w:rPr>
        <w:t>（3）全面推行标准化生态化经营。</w:t>
      </w:r>
    </w:p>
    <w:p>
      <w:pPr>
        <w:ind w:firstLine="640"/>
        <w:rPr>
          <w:rFonts w:ascii="黑体" w:hAnsi="黑体" w:eastAsia="黑体" w:cs="Times New Roman"/>
          <w:szCs w:val="32"/>
        </w:rPr>
      </w:pPr>
      <w:r>
        <w:rPr>
          <w:rFonts w:hint="eastAsia" w:ascii="黑体" w:hAnsi="黑体" w:eastAsia="黑体" w:cs="Times New Roman"/>
          <w:szCs w:val="32"/>
        </w:rPr>
        <w:t>5控制指标及验收要求</w:t>
      </w:r>
    </w:p>
    <w:p>
      <w:pPr>
        <w:ind w:firstLine="640"/>
        <w:rPr>
          <w:rFonts w:ascii="楷体_GB2312" w:eastAsia="楷体_GB2312" w:cs="Times New Roman"/>
          <w:kern w:val="0"/>
          <w:szCs w:val="32"/>
        </w:rPr>
      </w:pPr>
      <w:r>
        <w:rPr>
          <w:rFonts w:hint="eastAsia" w:ascii="楷体_GB2312" w:eastAsia="楷体_GB2312" w:cs="Times New Roman"/>
          <w:szCs w:val="32"/>
        </w:rPr>
        <w:t>5.1油茶新造林</w:t>
      </w:r>
      <w:r>
        <w:rPr>
          <w:rFonts w:hint="eastAsia" w:ascii="楷体_GB2312" w:eastAsia="楷体_GB2312" w:cs="Times New Roman"/>
          <w:kern w:val="0"/>
          <w:szCs w:val="32"/>
        </w:rPr>
        <w:t xml:space="preserve"> </w:t>
      </w:r>
    </w:p>
    <w:p>
      <w:pPr>
        <w:ind w:firstLine="643"/>
        <w:rPr>
          <w:rFonts w:ascii="仿宋_GB2312" w:cs="Times New Roman"/>
          <w:b/>
          <w:szCs w:val="32"/>
        </w:rPr>
      </w:pPr>
      <w:r>
        <w:rPr>
          <w:rFonts w:hint="eastAsia" w:ascii="仿宋_GB2312" w:cs="Times New Roman"/>
          <w:b/>
          <w:szCs w:val="32"/>
        </w:rPr>
        <w:t>5.1.1控制指标</w:t>
      </w:r>
    </w:p>
    <w:p>
      <w:pPr>
        <w:ind w:firstLine="678" w:firstLineChars="212"/>
        <w:rPr>
          <w:rFonts w:ascii="仿宋_GB2312" w:cs="Times New Roman"/>
          <w:szCs w:val="32"/>
        </w:rPr>
      </w:pPr>
      <w:r>
        <w:rPr>
          <w:rFonts w:hint="eastAsia" w:ascii="仿宋_GB2312" w:cs="Times New Roman"/>
          <w:szCs w:val="32"/>
        </w:rPr>
        <w:t>（1）2009年以后的油茶新造林。</w:t>
      </w:r>
    </w:p>
    <w:p>
      <w:pPr>
        <w:ind w:firstLine="678" w:firstLineChars="212"/>
        <w:rPr>
          <w:rFonts w:ascii="仿宋_GB2312" w:cs="Times New Roman"/>
          <w:szCs w:val="32"/>
        </w:rPr>
      </w:pPr>
      <w:r>
        <w:rPr>
          <w:rFonts w:hint="eastAsia" w:ascii="仿宋_GB2312" w:cs="Times New Roman"/>
          <w:szCs w:val="32"/>
        </w:rPr>
        <w:t>（2）以林班为单位，相对集中连片面积≥100亩。</w:t>
      </w:r>
    </w:p>
    <w:p>
      <w:pPr>
        <w:ind w:firstLine="640"/>
        <w:rPr>
          <w:rFonts w:ascii="仿宋_GB2312" w:cs="Times New Roman"/>
          <w:szCs w:val="32"/>
        </w:rPr>
      </w:pPr>
      <w:r>
        <w:rPr>
          <w:rFonts w:hint="eastAsia" w:ascii="仿宋_GB2312" w:cs="Times New Roman"/>
          <w:szCs w:val="32"/>
        </w:rPr>
        <w:t>（3）垦复除草。每年中耕除草 1 次。</w:t>
      </w:r>
    </w:p>
    <w:p>
      <w:pPr>
        <w:ind w:firstLine="640"/>
        <w:rPr>
          <w:rFonts w:ascii="仿宋_GB2312" w:cs="Times New Roman"/>
          <w:szCs w:val="32"/>
        </w:rPr>
      </w:pPr>
      <w:r>
        <w:rPr>
          <w:rFonts w:hint="eastAsia" w:ascii="仿宋_GB2312" w:cs="Times New Roman"/>
          <w:szCs w:val="32"/>
        </w:rPr>
        <w:t>（4）施肥。每年结合垦复、采果施肥1～3次。</w:t>
      </w:r>
    </w:p>
    <w:p>
      <w:pPr>
        <w:ind w:firstLine="640"/>
        <w:rPr>
          <w:rFonts w:ascii="仿宋_GB2312" w:cs="Times New Roman"/>
          <w:szCs w:val="32"/>
        </w:rPr>
      </w:pPr>
      <w:r>
        <w:rPr>
          <w:rFonts w:hint="eastAsia" w:ascii="仿宋_GB2312" w:cs="Times New Roman"/>
          <w:szCs w:val="32"/>
        </w:rPr>
        <w:t>（5）整形修剪。每年因树制宜，剪密留稀，去弱留强，形成合理的树林结构。</w:t>
      </w:r>
    </w:p>
    <w:p>
      <w:pPr>
        <w:ind w:firstLine="640"/>
        <w:rPr>
          <w:rFonts w:ascii="仿宋_GB2312" w:cs="Times New Roman"/>
          <w:szCs w:val="32"/>
        </w:rPr>
      </w:pPr>
      <w:r>
        <w:rPr>
          <w:rFonts w:hint="eastAsia" w:ascii="仿宋_GB2312" w:cs="Times New Roman"/>
          <w:szCs w:val="32"/>
        </w:rPr>
        <w:t>（6）病虫害防治。以防为主，以治为辅，生物措施和化学防治相结合，进行综合防治。</w:t>
      </w:r>
    </w:p>
    <w:p>
      <w:pPr>
        <w:ind w:firstLine="643"/>
        <w:rPr>
          <w:rFonts w:ascii="仿宋_GB2312" w:cs="Times New Roman"/>
          <w:b/>
          <w:szCs w:val="32"/>
        </w:rPr>
      </w:pPr>
      <w:r>
        <w:rPr>
          <w:rFonts w:hint="eastAsia" w:ascii="仿宋_GB2312" w:cs="Times New Roman"/>
          <w:b/>
          <w:szCs w:val="32"/>
        </w:rPr>
        <w:t>5.1.2验收要求</w:t>
      </w:r>
    </w:p>
    <w:p>
      <w:pPr>
        <w:ind w:firstLine="640"/>
        <w:rPr>
          <w:rFonts w:ascii="仿宋_GB2312" w:cs="Times New Roman"/>
          <w:szCs w:val="32"/>
        </w:rPr>
      </w:pPr>
      <w:r>
        <w:rPr>
          <w:rFonts w:hint="eastAsia" w:ascii="仿宋_GB2312" w:cs="Times New Roman"/>
          <w:szCs w:val="32"/>
        </w:rPr>
        <w:t>（1）制定抚育管理实施方案。</w:t>
      </w:r>
    </w:p>
    <w:p>
      <w:pPr>
        <w:ind w:firstLine="640"/>
        <w:rPr>
          <w:rFonts w:ascii="仿宋_GB2312" w:cs="Times New Roman"/>
          <w:szCs w:val="32"/>
        </w:rPr>
      </w:pPr>
      <w:r>
        <w:rPr>
          <w:rFonts w:hint="eastAsia" w:ascii="仿宋_GB2312" w:cs="Times New Roman"/>
          <w:szCs w:val="32"/>
        </w:rPr>
        <w:t>（2）灌木、藤条、杂草少、油茶长势较好、管理规范，林地无明显病虫害。</w:t>
      </w:r>
    </w:p>
    <w:p>
      <w:pPr>
        <w:ind w:firstLine="640"/>
        <w:rPr>
          <w:rFonts w:ascii="仿宋_GB2312" w:cs="Times New Roman"/>
          <w:szCs w:val="32"/>
        </w:rPr>
      </w:pPr>
      <w:r>
        <w:rPr>
          <w:rFonts w:hint="eastAsia" w:ascii="仿宋_GB2312" w:cs="Times New Roman"/>
          <w:szCs w:val="32"/>
        </w:rPr>
        <w:t>（3）下脚枝，枯枝、病虫枝、交叉重叠枝、细弱内膛枝、徒长枝基本剪除。</w:t>
      </w:r>
    </w:p>
    <w:p>
      <w:pPr>
        <w:ind w:firstLine="640"/>
        <w:rPr>
          <w:rFonts w:ascii="仿宋_GB2312" w:cs="Times New Roman"/>
          <w:szCs w:val="32"/>
        </w:rPr>
      </w:pPr>
      <w:r>
        <w:rPr>
          <w:rFonts w:hint="eastAsia" w:ascii="仿宋_GB2312" w:cs="Times New Roman"/>
          <w:szCs w:val="32"/>
        </w:rPr>
        <w:t>（4）生产管理、管护、生产投入品（药品、肥料等）记录完备，有生产经营记录台账和相关文件、照片等工作档案。</w:t>
      </w:r>
    </w:p>
    <w:p>
      <w:pPr>
        <w:ind w:firstLine="640"/>
        <w:rPr>
          <w:rFonts w:ascii="仿宋_GB2312" w:cs="Times New Roman"/>
          <w:szCs w:val="32"/>
        </w:rPr>
      </w:pPr>
      <w:r>
        <w:rPr>
          <w:rFonts w:hint="eastAsia" w:ascii="仿宋_GB2312" w:cs="Times New Roman"/>
          <w:szCs w:val="32"/>
        </w:rPr>
        <w:t>（5）建立责任专家挂钩联系制度。</w:t>
      </w:r>
    </w:p>
    <w:p>
      <w:pPr>
        <w:ind w:firstLine="640"/>
        <w:rPr>
          <w:rFonts w:ascii="仿宋_GB2312" w:cs="Times New Roman"/>
          <w:szCs w:val="32"/>
        </w:rPr>
      </w:pPr>
      <w:r>
        <w:rPr>
          <w:rFonts w:hint="eastAsia" w:ascii="仿宋_GB2312" w:cs="Times New Roman"/>
          <w:szCs w:val="32"/>
        </w:rPr>
        <w:t>（6）由县级林业主管部门组织专家完成检查验收。</w:t>
      </w:r>
    </w:p>
    <w:p>
      <w:pPr>
        <w:ind w:firstLine="640"/>
        <w:rPr>
          <w:rFonts w:ascii="楷体_GB2312" w:eastAsia="楷体_GB2312" w:cs="Times New Roman"/>
          <w:szCs w:val="32"/>
        </w:rPr>
      </w:pPr>
      <w:r>
        <w:rPr>
          <w:rFonts w:hint="eastAsia" w:ascii="楷体_GB2312" w:eastAsia="楷体_GB2312" w:cs="Times New Roman"/>
          <w:szCs w:val="32"/>
        </w:rPr>
        <w:t>5.2油茶成龄林</w:t>
      </w:r>
    </w:p>
    <w:p>
      <w:pPr>
        <w:ind w:firstLine="643"/>
        <w:rPr>
          <w:rFonts w:ascii="仿宋_GB2312" w:cs="Times New Roman"/>
          <w:b/>
          <w:szCs w:val="32"/>
        </w:rPr>
      </w:pPr>
      <w:r>
        <w:rPr>
          <w:rFonts w:hint="eastAsia" w:ascii="仿宋_GB2312" w:cs="Times New Roman"/>
          <w:b/>
          <w:szCs w:val="32"/>
        </w:rPr>
        <w:t>5.2.1控制指标</w:t>
      </w:r>
    </w:p>
    <w:p>
      <w:pPr>
        <w:ind w:firstLine="640"/>
        <w:rPr>
          <w:rFonts w:ascii="仿宋_GB2312" w:cs="Times New Roman"/>
          <w:szCs w:val="32"/>
        </w:rPr>
      </w:pPr>
      <w:r>
        <w:rPr>
          <w:rFonts w:hint="eastAsia" w:ascii="仿宋_GB2312" w:cs="Times New Roman"/>
          <w:szCs w:val="32"/>
        </w:rPr>
        <w:t>（1）树龄20年以上油茶成龄林。</w:t>
      </w:r>
    </w:p>
    <w:p>
      <w:pPr>
        <w:ind w:firstLine="640"/>
        <w:rPr>
          <w:rFonts w:ascii="仿宋_GB2312" w:cs="Times New Roman"/>
          <w:szCs w:val="32"/>
        </w:rPr>
      </w:pPr>
      <w:r>
        <w:rPr>
          <w:rFonts w:hint="eastAsia" w:ascii="仿宋_GB2312" w:cs="Times New Roman"/>
          <w:szCs w:val="32"/>
        </w:rPr>
        <w:t>（2）以林班为单位，相对集中连片面积≥50亩。</w:t>
      </w:r>
    </w:p>
    <w:p>
      <w:pPr>
        <w:ind w:firstLine="640"/>
        <w:rPr>
          <w:rFonts w:ascii="仿宋_GB2312" w:cs="Times New Roman"/>
          <w:szCs w:val="32"/>
        </w:rPr>
      </w:pPr>
      <w:r>
        <w:rPr>
          <w:rFonts w:hint="eastAsia" w:ascii="仿宋_GB2312" w:cs="Times New Roman"/>
          <w:szCs w:val="32"/>
        </w:rPr>
        <w:t>（3）整形修剪。每年因树制宜，剪密留稀，去弱留强，形成合理的树林结构，覆盖度控制在0.7左右。</w:t>
      </w:r>
    </w:p>
    <w:p>
      <w:pPr>
        <w:ind w:firstLine="640"/>
        <w:rPr>
          <w:rFonts w:ascii="仿宋_GB2312" w:cs="Times New Roman"/>
          <w:szCs w:val="32"/>
        </w:rPr>
      </w:pPr>
      <w:r>
        <w:rPr>
          <w:rFonts w:hint="eastAsia" w:ascii="仿宋_GB2312" w:cs="Times New Roman"/>
          <w:szCs w:val="32"/>
        </w:rPr>
        <w:t>（4）良种补植。林窗进行补植，保证密度50株/亩以上。</w:t>
      </w:r>
    </w:p>
    <w:p>
      <w:pPr>
        <w:ind w:firstLine="640"/>
        <w:rPr>
          <w:rFonts w:ascii="仿宋_GB2312" w:cs="Times New Roman"/>
          <w:szCs w:val="32"/>
        </w:rPr>
      </w:pPr>
      <w:r>
        <w:rPr>
          <w:rFonts w:hint="eastAsia" w:ascii="仿宋_GB2312" w:cs="Times New Roman"/>
          <w:szCs w:val="32"/>
        </w:rPr>
        <w:t>（5）垦复除草。每年中耕除草 1 次。</w:t>
      </w:r>
    </w:p>
    <w:p>
      <w:pPr>
        <w:ind w:firstLine="640"/>
        <w:rPr>
          <w:rFonts w:ascii="仿宋_GB2312" w:cs="Times New Roman"/>
          <w:szCs w:val="32"/>
        </w:rPr>
      </w:pPr>
      <w:r>
        <w:rPr>
          <w:rFonts w:hint="eastAsia" w:ascii="仿宋_GB2312" w:cs="Times New Roman"/>
          <w:szCs w:val="32"/>
        </w:rPr>
        <w:t>（6）施肥。每年结合垦复、采果施肥1～3次。</w:t>
      </w:r>
    </w:p>
    <w:p>
      <w:pPr>
        <w:ind w:firstLine="640"/>
        <w:rPr>
          <w:rFonts w:ascii="仿宋_GB2312" w:cs="Times New Roman"/>
          <w:szCs w:val="32"/>
        </w:rPr>
      </w:pPr>
      <w:r>
        <w:rPr>
          <w:rFonts w:hint="eastAsia" w:ascii="仿宋_GB2312" w:cs="Times New Roman"/>
          <w:szCs w:val="32"/>
        </w:rPr>
        <w:t>（7）病虫害防治。以防为主，以治为辅，生物措施和化学防治相结合，进行综合防治。</w:t>
      </w:r>
    </w:p>
    <w:p>
      <w:pPr>
        <w:ind w:firstLine="643"/>
        <w:rPr>
          <w:rFonts w:ascii="仿宋_GB2312" w:cs="Times New Roman"/>
          <w:b/>
          <w:szCs w:val="32"/>
        </w:rPr>
      </w:pPr>
      <w:r>
        <w:rPr>
          <w:rFonts w:hint="eastAsia" w:ascii="仿宋_GB2312" w:cs="Times New Roman"/>
          <w:b/>
          <w:szCs w:val="32"/>
        </w:rPr>
        <w:t>5.2.2验收要求</w:t>
      </w:r>
    </w:p>
    <w:p>
      <w:pPr>
        <w:ind w:firstLine="640"/>
        <w:rPr>
          <w:rFonts w:ascii="仿宋_GB2312" w:cs="Times New Roman"/>
          <w:szCs w:val="32"/>
        </w:rPr>
      </w:pPr>
      <w:r>
        <w:rPr>
          <w:rFonts w:hint="eastAsia" w:ascii="仿宋_GB2312" w:cs="Times New Roman"/>
          <w:szCs w:val="32"/>
        </w:rPr>
        <w:t>（1）制定抚育管理实施方案。</w:t>
      </w:r>
    </w:p>
    <w:p>
      <w:pPr>
        <w:ind w:firstLine="640"/>
        <w:rPr>
          <w:rFonts w:ascii="仿宋_GB2312" w:cs="Times New Roman"/>
          <w:szCs w:val="32"/>
        </w:rPr>
      </w:pPr>
      <w:r>
        <w:rPr>
          <w:rFonts w:hint="eastAsia" w:ascii="仿宋_GB2312" w:cs="Times New Roman"/>
          <w:szCs w:val="32"/>
        </w:rPr>
        <w:t>（2）灌木、藤条、杂草少、油茶长势较好、管理规范，林地无明显病虫害。</w:t>
      </w:r>
    </w:p>
    <w:p>
      <w:pPr>
        <w:ind w:firstLine="640"/>
        <w:rPr>
          <w:rFonts w:ascii="仿宋_GB2312" w:cs="Times New Roman"/>
          <w:szCs w:val="32"/>
        </w:rPr>
      </w:pPr>
      <w:r>
        <w:rPr>
          <w:rFonts w:hint="eastAsia" w:ascii="仿宋_GB2312" w:cs="Times New Roman"/>
          <w:szCs w:val="32"/>
        </w:rPr>
        <w:t>（3）油茶密度50～70株/亩，无明显天窗。</w:t>
      </w:r>
    </w:p>
    <w:p>
      <w:pPr>
        <w:ind w:firstLine="640"/>
        <w:rPr>
          <w:rFonts w:ascii="仿宋_GB2312" w:cs="Times New Roman"/>
          <w:szCs w:val="32"/>
        </w:rPr>
      </w:pPr>
      <w:r>
        <w:rPr>
          <w:rFonts w:hint="eastAsia" w:ascii="仿宋_GB2312" w:cs="Times New Roman"/>
          <w:szCs w:val="32"/>
        </w:rPr>
        <w:t>（4）生产管理、管护、生产投入品（药品、肥料等）记录完备，有生产经营记录台账和相关文件、照片等工作档案。</w:t>
      </w:r>
    </w:p>
    <w:p>
      <w:pPr>
        <w:ind w:firstLine="640"/>
        <w:rPr>
          <w:rFonts w:ascii="仿宋_GB2312" w:cs="Times New Roman"/>
          <w:szCs w:val="32"/>
        </w:rPr>
      </w:pPr>
      <w:r>
        <w:rPr>
          <w:rFonts w:hint="eastAsia" w:ascii="仿宋_GB2312" w:cs="Times New Roman"/>
          <w:szCs w:val="32"/>
        </w:rPr>
        <w:t>（5）建立责任专家挂钩联系制度。</w:t>
      </w:r>
    </w:p>
    <w:p>
      <w:pPr>
        <w:ind w:firstLine="640"/>
        <w:rPr>
          <w:rFonts w:ascii="仿宋_GB2312" w:cs="Times New Roman"/>
          <w:szCs w:val="32"/>
        </w:rPr>
      </w:pPr>
      <w:r>
        <w:rPr>
          <w:rFonts w:hint="eastAsia" w:ascii="仿宋_GB2312" w:cs="Times New Roman"/>
          <w:szCs w:val="32"/>
        </w:rPr>
        <w:t>（6）由县级林业主管部门组织专家完成检查验收。</w:t>
      </w:r>
    </w:p>
    <w:p>
      <w:pPr>
        <w:ind w:firstLine="640"/>
        <w:rPr>
          <w:rFonts w:ascii="楷体_GB2312" w:eastAsia="楷体_GB2312" w:cs="Times New Roman"/>
          <w:szCs w:val="32"/>
        </w:rPr>
      </w:pPr>
      <w:r>
        <w:rPr>
          <w:rFonts w:hint="eastAsia" w:ascii="楷体_GB2312" w:eastAsia="楷体_GB2312" w:cs="Times New Roman"/>
          <w:szCs w:val="32"/>
        </w:rPr>
        <w:t>5.3香榧新造林</w:t>
      </w:r>
    </w:p>
    <w:p>
      <w:pPr>
        <w:ind w:firstLine="643"/>
        <w:rPr>
          <w:rFonts w:ascii="仿宋_GB2312" w:cs="Times New Roman"/>
          <w:b/>
          <w:szCs w:val="32"/>
        </w:rPr>
      </w:pPr>
      <w:r>
        <w:rPr>
          <w:rFonts w:hint="eastAsia" w:ascii="仿宋_GB2312" w:cs="Times New Roman"/>
          <w:b/>
          <w:szCs w:val="32"/>
        </w:rPr>
        <w:t>5.3.1控制指标</w:t>
      </w:r>
    </w:p>
    <w:p>
      <w:pPr>
        <w:ind w:firstLine="640"/>
        <w:rPr>
          <w:rFonts w:ascii="仿宋_GB2312" w:cs="Times New Roman"/>
          <w:szCs w:val="32"/>
        </w:rPr>
      </w:pPr>
      <w:r>
        <w:rPr>
          <w:rFonts w:hint="eastAsia" w:ascii="仿宋_GB2312" w:cs="Times New Roman"/>
          <w:szCs w:val="32"/>
        </w:rPr>
        <w:t>（1）2011年以后的香榧新造林。</w:t>
      </w:r>
    </w:p>
    <w:p>
      <w:pPr>
        <w:ind w:firstLine="640"/>
        <w:rPr>
          <w:rFonts w:ascii="仿宋_GB2312" w:cs="Times New Roman"/>
          <w:szCs w:val="32"/>
        </w:rPr>
      </w:pPr>
      <w:r>
        <w:rPr>
          <w:rFonts w:hint="eastAsia" w:ascii="仿宋_GB2312" w:cs="Times New Roman"/>
          <w:szCs w:val="32"/>
        </w:rPr>
        <w:t>（2）相对连片种植面积≥300亩。</w:t>
      </w:r>
    </w:p>
    <w:p>
      <w:pPr>
        <w:ind w:firstLine="640"/>
        <w:rPr>
          <w:rFonts w:ascii="仿宋_GB2312" w:cs="Times New Roman"/>
          <w:szCs w:val="32"/>
        </w:rPr>
      </w:pPr>
      <w:r>
        <w:rPr>
          <w:rFonts w:hint="eastAsia" w:ascii="仿宋_GB2312" w:cs="Times New Roman"/>
          <w:szCs w:val="32"/>
        </w:rPr>
        <w:t>（1）生草栽培。采用自然生草或人工生草栽培，造林3年以上林分禁用除草剂。</w:t>
      </w:r>
    </w:p>
    <w:p>
      <w:pPr>
        <w:ind w:firstLine="640"/>
        <w:rPr>
          <w:rFonts w:ascii="仿宋_GB2312" w:cs="Times New Roman"/>
          <w:szCs w:val="32"/>
        </w:rPr>
      </w:pPr>
      <w:r>
        <w:rPr>
          <w:rFonts w:hint="eastAsia" w:ascii="仿宋_GB2312" w:cs="Times New Roman"/>
          <w:szCs w:val="32"/>
        </w:rPr>
        <w:t>（2）施肥。化肥施用坚持薄肥勤施，每年2次以上；隔年施入发酵有机肥。沟施逐年松土扩穴。</w:t>
      </w:r>
    </w:p>
    <w:p>
      <w:pPr>
        <w:ind w:firstLine="640"/>
        <w:rPr>
          <w:rFonts w:ascii="仿宋_GB2312" w:cs="Times New Roman"/>
          <w:szCs w:val="32"/>
        </w:rPr>
      </w:pPr>
      <w:r>
        <w:rPr>
          <w:rFonts w:hint="eastAsia" w:ascii="仿宋_GB2312" w:cs="Times New Roman"/>
          <w:szCs w:val="32"/>
        </w:rPr>
        <w:t>（3）整形修剪。采收后至翌年春天整形修剪1次。选择自然开心形或疏散分层形树形，要求骨架枝不交叉重叠、结果枝组发育好。</w:t>
      </w:r>
    </w:p>
    <w:p>
      <w:pPr>
        <w:ind w:firstLine="640"/>
        <w:rPr>
          <w:rFonts w:ascii="仿宋_GB2312" w:cs="Times New Roman"/>
          <w:szCs w:val="32"/>
        </w:rPr>
      </w:pPr>
      <w:r>
        <w:rPr>
          <w:rFonts w:hint="eastAsia" w:ascii="仿宋_GB2312" w:cs="Times New Roman"/>
          <w:szCs w:val="32"/>
        </w:rPr>
        <w:t>（4）人工辅助授粉。授粉树安排合理，以自然授粉为主，每年3月下旬—4 月上中旬安排1次人工辅助授粉。</w:t>
      </w:r>
    </w:p>
    <w:p>
      <w:pPr>
        <w:ind w:firstLine="640"/>
        <w:rPr>
          <w:rFonts w:ascii="仿宋_GB2312" w:cs="Times New Roman"/>
          <w:szCs w:val="32"/>
        </w:rPr>
      </w:pPr>
      <w:r>
        <w:rPr>
          <w:rFonts w:hint="eastAsia" w:ascii="仿宋_GB2312" w:cs="Times New Roman"/>
          <w:szCs w:val="32"/>
        </w:rPr>
        <w:t>（5）清园除杂。采果后，及时喷施石硫合剂，将有病虫害危害的果实、枯枝和落叶清理出香榧林或深埋。</w:t>
      </w:r>
    </w:p>
    <w:p>
      <w:pPr>
        <w:ind w:firstLine="640"/>
        <w:rPr>
          <w:rFonts w:ascii="仿宋_GB2312" w:cs="Times New Roman"/>
          <w:szCs w:val="32"/>
        </w:rPr>
      </w:pPr>
      <w:r>
        <w:rPr>
          <w:rFonts w:hint="eastAsia" w:ascii="仿宋_GB2312" w:cs="Times New Roman"/>
          <w:szCs w:val="32"/>
        </w:rPr>
        <w:t>（6）病虫害防控。推行生态化经营预防为主，坚持采用低毒高效药剂进行针对性防控。</w:t>
      </w:r>
    </w:p>
    <w:p>
      <w:pPr>
        <w:ind w:firstLine="643"/>
        <w:rPr>
          <w:rFonts w:ascii="仿宋_GB2312" w:cs="Times New Roman"/>
          <w:b/>
          <w:szCs w:val="32"/>
        </w:rPr>
      </w:pPr>
      <w:r>
        <w:rPr>
          <w:rFonts w:hint="eastAsia" w:ascii="仿宋_GB2312" w:cs="Times New Roman"/>
          <w:b/>
          <w:szCs w:val="32"/>
        </w:rPr>
        <w:t>5.3.2验收要求</w:t>
      </w:r>
    </w:p>
    <w:p>
      <w:pPr>
        <w:ind w:firstLine="640"/>
        <w:rPr>
          <w:rFonts w:ascii="仿宋_GB2312" w:cs="Times New Roman"/>
          <w:szCs w:val="32"/>
        </w:rPr>
      </w:pPr>
      <w:r>
        <w:rPr>
          <w:rFonts w:hint="eastAsia" w:ascii="仿宋_GB2312" w:cs="Times New Roman"/>
          <w:szCs w:val="32"/>
        </w:rPr>
        <w:t>（1）制定抚育管理实施方案。</w:t>
      </w:r>
    </w:p>
    <w:p>
      <w:pPr>
        <w:ind w:firstLine="640"/>
        <w:rPr>
          <w:rFonts w:ascii="仿宋_GB2312" w:cs="Times New Roman"/>
          <w:szCs w:val="32"/>
        </w:rPr>
      </w:pPr>
      <w:r>
        <w:rPr>
          <w:rFonts w:hint="eastAsia" w:ascii="仿宋_GB2312" w:cs="Times New Roman"/>
          <w:szCs w:val="32"/>
        </w:rPr>
        <w:t>（2）灌木、藤条、杂草少，香榧长势较好、管理规范，林地无明显病虫害。</w:t>
      </w:r>
    </w:p>
    <w:p>
      <w:pPr>
        <w:ind w:firstLine="640"/>
        <w:rPr>
          <w:rFonts w:ascii="仿宋_GB2312" w:cs="Times New Roman"/>
          <w:szCs w:val="32"/>
        </w:rPr>
      </w:pPr>
      <w:r>
        <w:rPr>
          <w:rFonts w:hint="eastAsia" w:ascii="仿宋_GB2312" w:cs="Times New Roman"/>
          <w:szCs w:val="32"/>
        </w:rPr>
        <w:t>（3）抚育后种植密度合理，无明显天窗。</w:t>
      </w:r>
    </w:p>
    <w:p>
      <w:pPr>
        <w:ind w:firstLine="640"/>
        <w:rPr>
          <w:rFonts w:ascii="仿宋_GB2312" w:cs="Times New Roman"/>
          <w:szCs w:val="32"/>
        </w:rPr>
      </w:pPr>
      <w:r>
        <w:rPr>
          <w:rFonts w:hint="eastAsia" w:ascii="仿宋_GB2312" w:cs="Times New Roman"/>
          <w:szCs w:val="32"/>
        </w:rPr>
        <w:t>（4）生态化经营面积比例≥30%。</w:t>
      </w:r>
    </w:p>
    <w:p>
      <w:pPr>
        <w:ind w:firstLine="640"/>
        <w:rPr>
          <w:rFonts w:ascii="仿宋_GB2312" w:cs="Times New Roman"/>
          <w:szCs w:val="32"/>
        </w:rPr>
      </w:pPr>
      <w:r>
        <w:rPr>
          <w:rFonts w:hint="eastAsia" w:ascii="仿宋_GB2312" w:cs="Times New Roman"/>
          <w:szCs w:val="32"/>
        </w:rPr>
        <w:t>（5）生产管理、管护、生产投入品（药品、肥料等）记录完备，有生产经营记录台账和相关文件、照片等工作档案。</w:t>
      </w:r>
    </w:p>
    <w:p>
      <w:pPr>
        <w:ind w:firstLine="640"/>
        <w:rPr>
          <w:rFonts w:ascii="仿宋_GB2312" w:cs="Times New Roman"/>
          <w:szCs w:val="32"/>
        </w:rPr>
      </w:pPr>
      <w:r>
        <w:rPr>
          <w:rFonts w:hint="eastAsia" w:ascii="仿宋_GB2312" w:cs="Times New Roman"/>
          <w:szCs w:val="32"/>
        </w:rPr>
        <w:t>（6）建立责任专家挂钩联系制度。</w:t>
      </w:r>
    </w:p>
    <w:p>
      <w:pPr>
        <w:ind w:firstLine="640"/>
        <w:rPr>
          <w:rFonts w:ascii="仿宋_GB2312" w:cs="Times New Roman"/>
          <w:szCs w:val="32"/>
        </w:rPr>
      </w:pPr>
      <w:r>
        <w:rPr>
          <w:rFonts w:hint="eastAsia" w:ascii="仿宋_GB2312" w:cs="Times New Roman"/>
          <w:szCs w:val="32"/>
        </w:rPr>
        <w:t>（7）由县级林业主管部门组织专家完成检查验收。</w:t>
      </w:r>
    </w:p>
    <w:p>
      <w:pPr>
        <w:ind w:firstLine="640"/>
        <w:rPr>
          <w:rFonts w:ascii="楷体_GB2312" w:eastAsia="楷体_GB2312" w:cs="Times New Roman"/>
          <w:szCs w:val="32"/>
        </w:rPr>
      </w:pPr>
      <w:r>
        <w:rPr>
          <w:rFonts w:hint="eastAsia" w:ascii="楷体_GB2312" w:eastAsia="楷体_GB2312" w:cs="Times New Roman"/>
          <w:szCs w:val="32"/>
        </w:rPr>
        <w:t>5.4山核桃新造林</w:t>
      </w:r>
    </w:p>
    <w:p>
      <w:pPr>
        <w:ind w:firstLine="643"/>
        <w:rPr>
          <w:rFonts w:ascii="仿宋_GB2312" w:cs="Times New Roman"/>
          <w:b/>
          <w:szCs w:val="32"/>
        </w:rPr>
      </w:pPr>
      <w:r>
        <w:rPr>
          <w:rFonts w:hint="eastAsia" w:ascii="仿宋_GB2312" w:cs="Times New Roman"/>
          <w:b/>
          <w:szCs w:val="32"/>
        </w:rPr>
        <w:t>5.4.1控制指标</w:t>
      </w:r>
    </w:p>
    <w:p>
      <w:pPr>
        <w:ind w:firstLine="640"/>
        <w:rPr>
          <w:rFonts w:ascii="仿宋_GB2312" w:cs="Times New Roman"/>
          <w:szCs w:val="32"/>
        </w:rPr>
      </w:pPr>
      <w:r>
        <w:rPr>
          <w:rFonts w:hint="eastAsia" w:ascii="仿宋_GB2312" w:cs="Times New Roman"/>
          <w:szCs w:val="32"/>
        </w:rPr>
        <w:t>（1）2011年以后的山核桃新造林。</w:t>
      </w:r>
    </w:p>
    <w:p>
      <w:pPr>
        <w:ind w:firstLine="640"/>
        <w:rPr>
          <w:rFonts w:ascii="仿宋_GB2312" w:cs="Times New Roman"/>
          <w:szCs w:val="32"/>
        </w:rPr>
      </w:pPr>
      <w:r>
        <w:rPr>
          <w:rFonts w:hint="eastAsia" w:ascii="仿宋_GB2312" w:cs="Times New Roman"/>
          <w:szCs w:val="32"/>
        </w:rPr>
        <w:t>（2）相对连片种植面积≥300亩。</w:t>
      </w:r>
    </w:p>
    <w:p>
      <w:pPr>
        <w:ind w:firstLine="640"/>
        <w:rPr>
          <w:rFonts w:ascii="仿宋_GB2312" w:cs="Times New Roman"/>
          <w:szCs w:val="32"/>
        </w:rPr>
      </w:pPr>
      <w:r>
        <w:rPr>
          <w:rFonts w:hint="eastAsia" w:ascii="仿宋_GB2312" w:cs="Times New Roman"/>
          <w:szCs w:val="32"/>
        </w:rPr>
        <w:t>（3）整形修剪。疏除细弱枝、重叠枝、病虫枝，保持丰产树形。</w:t>
      </w:r>
    </w:p>
    <w:p>
      <w:pPr>
        <w:ind w:firstLine="640"/>
        <w:rPr>
          <w:rFonts w:ascii="仿宋_GB2312" w:cs="Times New Roman"/>
          <w:szCs w:val="32"/>
        </w:rPr>
      </w:pPr>
      <w:r>
        <w:rPr>
          <w:rFonts w:hint="eastAsia" w:ascii="仿宋_GB2312" w:cs="Times New Roman"/>
          <w:szCs w:val="32"/>
        </w:rPr>
        <w:t>（4）土壤改良。通过生石灰、钙镁磷肥等沟施和撒施相结合，调节土壤pH至6.0</w:t>
      </w:r>
      <w:r>
        <w:rPr>
          <w:rFonts w:cs="Times New Roman"/>
          <w:szCs w:val="32"/>
        </w:rPr>
        <w:t>~</w:t>
      </w:r>
      <w:r>
        <w:rPr>
          <w:rFonts w:hint="eastAsia" w:ascii="仿宋_GB2312" w:cs="Times New Roman"/>
          <w:szCs w:val="32"/>
        </w:rPr>
        <w:t>6.5。</w:t>
      </w:r>
    </w:p>
    <w:p>
      <w:pPr>
        <w:ind w:firstLine="640"/>
        <w:rPr>
          <w:rFonts w:ascii="仿宋_GB2312" w:cs="Times New Roman"/>
          <w:szCs w:val="32"/>
        </w:rPr>
      </w:pPr>
      <w:r>
        <w:rPr>
          <w:rFonts w:hint="eastAsia" w:ascii="仿宋_GB2312" w:cs="Times New Roman"/>
          <w:szCs w:val="32"/>
        </w:rPr>
        <w:t>（5）林下植被管理。采用生态化栽培模式，套种紫云英、黑麦草、油菜等绿肥。每年全园割草1</w:t>
      </w:r>
      <w:r>
        <w:rPr>
          <w:rFonts w:cs="Times New Roman"/>
          <w:szCs w:val="32"/>
        </w:rPr>
        <w:t>~</w:t>
      </w:r>
      <w:r>
        <w:rPr>
          <w:rFonts w:hint="eastAsia" w:ascii="仿宋_GB2312" w:cs="Times New Roman"/>
          <w:szCs w:val="32"/>
        </w:rPr>
        <w:t>2次。</w:t>
      </w:r>
    </w:p>
    <w:p>
      <w:pPr>
        <w:ind w:firstLine="640"/>
        <w:rPr>
          <w:rFonts w:ascii="仿宋_GB2312" w:cs="Times New Roman"/>
          <w:szCs w:val="32"/>
        </w:rPr>
      </w:pPr>
      <w:r>
        <w:rPr>
          <w:rFonts w:hint="eastAsia" w:ascii="仿宋_GB2312" w:cs="Times New Roman"/>
          <w:szCs w:val="32"/>
        </w:rPr>
        <w:t>（6）肥水管理。以有机肥为主，化肥为辅，提倡测土配方施肥。</w:t>
      </w:r>
    </w:p>
    <w:p>
      <w:pPr>
        <w:ind w:firstLine="640"/>
        <w:rPr>
          <w:rFonts w:ascii="仿宋_GB2312" w:cs="Times New Roman"/>
          <w:szCs w:val="32"/>
        </w:rPr>
      </w:pPr>
      <w:r>
        <w:rPr>
          <w:rFonts w:hint="eastAsia" w:ascii="仿宋_GB2312" w:cs="Times New Roman"/>
          <w:szCs w:val="32"/>
        </w:rPr>
        <w:t>（7）病虫害防治。以黄板、杀虫灯等物理防治方法和以虫治虫、以鸟治虫等生物防治绿色防控技术为主，以化学防治方法为辅，农药使用按DB33/T222规定执行。</w:t>
      </w:r>
    </w:p>
    <w:p>
      <w:pPr>
        <w:ind w:firstLine="643"/>
        <w:rPr>
          <w:rFonts w:ascii="仿宋_GB2312" w:cs="Times New Roman"/>
          <w:b/>
          <w:szCs w:val="32"/>
        </w:rPr>
      </w:pPr>
      <w:r>
        <w:rPr>
          <w:rFonts w:hint="eastAsia" w:ascii="仿宋_GB2312" w:cs="Times New Roman"/>
          <w:b/>
          <w:szCs w:val="32"/>
        </w:rPr>
        <w:t>5.4.2验收要求</w:t>
      </w:r>
    </w:p>
    <w:p>
      <w:pPr>
        <w:ind w:firstLine="640"/>
        <w:rPr>
          <w:rFonts w:ascii="仿宋_GB2312" w:cs="Times New Roman"/>
          <w:szCs w:val="32"/>
        </w:rPr>
      </w:pPr>
      <w:r>
        <w:rPr>
          <w:rFonts w:hint="eastAsia" w:ascii="仿宋_GB2312" w:cs="Times New Roman"/>
          <w:szCs w:val="32"/>
        </w:rPr>
        <w:t>（1）制定抚育管理实施方案。</w:t>
      </w:r>
    </w:p>
    <w:p>
      <w:pPr>
        <w:ind w:firstLine="640"/>
        <w:rPr>
          <w:rFonts w:ascii="仿宋_GB2312" w:cs="Times New Roman"/>
          <w:szCs w:val="32"/>
        </w:rPr>
      </w:pPr>
      <w:r>
        <w:rPr>
          <w:rFonts w:hint="eastAsia" w:ascii="仿宋_GB2312" w:cs="Times New Roman"/>
          <w:szCs w:val="32"/>
        </w:rPr>
        <w:t>（2）灌木、藤条、杂草少，山核桃长势较好、管理规范，林地无明显病虫害。</w:t>
      </w:r>
    </w:p>
    <w:p>
      <w:pPr>
        <w:ind w:firstLine="640"/>
        <w:rPr>
          <w:rFonts w:ascii="仿宋_GB2312" w:cs="Times New Roman"/>
          <w:szCs w:val="32"/>
        </w:rPr>
      </w:pPr>
      <w:r>
        <w:rPr>
          <w:rFonts w:hint="eastAsia" w:ascii="仿宋_GB2312" w:cs="Times New Roman"/>
          <w:szCs w:val="32"/>
        </w:rPr>
        <w:t>（3）生态化经营面积占60%以上；山核桃干腐病发生率&lt;5%。</w:t>
      </w:r>
    </w:p>
    <w:p>
      <w:pPr>
        <w:ind w:firstLine="640"/>
        <w:rPr>
          <w:rFonts w:ascii="仿宋_GB2312" w:cs="Times New Roman"/>
          <w:szCs w:val="32"/>
        </w:rPr>
      </w:pPr>
      <w:r>
        <w:rPr>
          <w:rFonts w:hint="eastAsia" w:ascii="仿宋_GB2312" w:cs="Times New Roman"/>
          <w:szCs w:val="32"/>
        </w:rPr>
        <w:t>（4）抚育后山核桃12～18株/亩。</w:t>
      </w:r>
    </w:p>
    <w:p>
      <w:pPr>
        <w:ind w:firstLine="640"/>
        <w:rPr>
          <w:rFonts w:ascii="仿宋_GB2312" w:cs="Times New Roman"/>
          <w:szCs w:val="32"/>
        </w:rPr>
      </w:pPr>
      <w:r>
        <w:rPr>
          <w:rFonts w:hint="eastAsia" w:ascii="仿宋_GB2312" w:cs="Times New Roman"/>
          <w:szCs w:val="32"/>
        </w:rPr>
        <w:t>（5）生产管理、管护、生产投入品（药品、肥料等）记录完备，有生产经营记录台账和相关文件、照片等工作档案。</w:t>
      </w:r>
    </w:p>
    <w:p>
      <w:pPr>
        <w:ind w:firstLine="640"/>
        <w:rPr>
          <w:rFonts w:ascii="仿宋_GB2312" w:cs="Times New Roman"/>
          <w:szCs w:val="32"/>
        </w:rPr>
      </w:pPr>
      <w:r>
        <w:rPr>
          <w:rFonts w:hint="eastAsia" w:ascii="仿宋_GB2312" w:cs="Times New Roman"/>
          <w:szCs w:val="32"/>
        </w:rPr>
        <w:t>（6）建立责任专家挂钩联系制度。</w:t>
      </w:r>
    </w:p>
    <w:p>
      <w:pPr>
        <w:ind w:firstLine="640"/>
        <w:rPr>
          <w:rFonts w:ascii="仿宋_GB2312" w:cs="Times New Roman"/>
          <w:szCs w:val="32"/>
        </w:rPr>
      </w:pPr>
      <w:r>
        <w:rPr>
          <w:rFonts w:hint="eastAsia" w:ascii="仿宋_GB2312" w:cs="Times New Roman"/>
          <w:szCs w:val="32"/>
        </w:rPr>
        <w:t>（7）由县级林业主管部门组织专家进行检查验收。</w:t>
      </w:r>
    </w:p>
    <w:p>
      <w:pPr>
        <w:ind w:firstLine="640"/>
        <w:rPr>
          <w:rFonts w:ascii="楷体_GB2312" w:eastAsia="楷体_GB2312" w:cs="Times New Roman"/>
          <w:szCs w:val="32"/>
        </w:rPr>
      </w:pPr>
      <w:r>
        <w:rPr>
          <w:rFonts w:hint="eastAsia" w:ascii="楷体_GB2312" w:eastAsia="楷体_GB2312" w:cs="Times New Roman"/>
          <w:szCs w:val="32"/>
        </w:rPr>
        <w:t>5.5薄壳山核桃新造林</w:t>
      </w:r>
    </w:p>
    <w:p>
      <w:pPr>
        <w:ind w:firstLine="643"/>
        <w:rPr>
          <w:rFonts w:ascii="仿宋_GB2312" w:cs="Times New Roman"/>
          <w:b/>
          <w:szCs w:val="32"/>
        </w:rPr>
      </w:pPr>
      <w:r>
        <w:rPr>
          <w:rFonts w:hint="eastAsia" w:ascii="仿宋_GB2312" w:cs="Times New Roman"/>
          <w:b/>
          <w:szCs w:val="32"/>
        </w:rPr>
        <w:t>5.5.1控制指标</w:t>
      </w:r>
    </w:p>
    <w:p>
      <w:pPr>
        <w:ind w:firstLine="640"/>
        <w:rPr>
          <w:rFonts w:ascii="仿宋_GB2312" w:cs="Times New Roman"/>
          <w:szCs w:val="32"/>
        </w:rPr>
      </w:pPr>
      <w:r>
        <w:rPr>
          <w:rFonts w:hint="eastAsia" w:ascii="仿宋_GB2312" w:cs="Times New Roman"/>
          <w:szCs w:val="32"/>
        </w:rPr>
        <w:t>（1）2011年以后的薄壳山核桃新造林。</w:t>
      </w:r>
    </w:p>
    <w:p>
      <w:pPr>
        <w:ind w:firstLine="640"/>
        <w:rPr>
          <w:rFonts w:ascii="仿宋_GB2312" w:cs="Times New Roman"/>
          <w:szCs w:val="32"/>
        </w:rPr>
      </w:pPr>
      <w:r>
        <w:rPr>
          <w:rFonts w:hint="eastAsia" w:ascii="仿宋_GB2312" w:cs="Times New Roman"/>
          <w:szCs w:val="32"/>
        </w:rPr>
        <w:t>（2）相对连片种植面积≥300亩。</w:t>
      </w:r>
    </w:p>
    <w:p>
      <w:pPr>
        <w:ind w:firstLine="640"/>
        <w:rPr>
          <w:rFonts w:ascii="仿宋_GB2312" w:cs="Times New Roman"/>
          <w:szCs w:val="32"/>
        </w:rPr>
      </w:pPr>
      <w:r>
        <w:rPr>
          <w:rFonts w:hint="eastAsia" w:ascii="仿宋_GB2312" w:cs="Times New Roman"/>
          <w:szCs w:val="32"/>
        </w:rPr>
        <w:t>（3）中耕除草。每年除草1</w:t>
      </w:r>
      <w:r>
        <w:rPr>
          <w:rFonts w:cs="Times New Roman"/>
          <w:szCs w:val="32"/>
        </w:rPr>
        <w:t>~</w:t>
      </w:r>
      <w:r>
        <w:rPr>
          <w:rFonts w:hint="eastAsia" w:ascii="仿宋_GB2312" w:cs="Times New Roman"/>
          <w:szCs w:val="32"/>
        </w:rPr>
        <w:t>2次，杂草覆盖根际降温保墒。</w:t>
      </w:r>
    </w:p>
    <w:p>
      <w:pPr>
        <w:ind w:firstLine="640"/>
        <w:rPr>
          <w:rFonts w:ascii="仿宋_GB2312" w:cs="Times New Roman"/>
          <w:szCs w:val="32"/>
        </w:rPr>
      </w:pPr>
      <w:r>
        <w:rPr>
          <w:rFonts w:hint="eastAsia" w:ascii="仿宋_GB2312" w:cs="Times New Roman"/>
          <w:szCs w:val="32"/>
        </w:rPr>
        <w:t>（4）施肥。每年7</w:t>
      </w:r>
      <w:r>
        <w:rPr>
          <w:rFonts w:cs="Times New Roman"/>
          <w:szCs w:val="32"/>
        </w:rPr>
        <w:t>~</w:t>
      </w:r>
      <w:r>
        <w:rPr>
          <w:rFonts w:hint="eastAsia" w:ascii="仿宋_GB2312" w:cs="Times New Roman"/>
          <w:szCs w:val="32"/>
        </w:rPr>
        <w:t>8月份和果实采收后，各施肥1次。</w:t>
      </w:r>
    </w:p>
    <w:p>
      <w:pPr>
        <w:ind w:firstLine="640"/>
        <w:rPr>
          <w:rFonts w:ascii="仿宋_GB2312" w:cs="Times New Roman"/>
          <w:szCs w:val="32"/>
        </w:rPr>
      </w:pPr>
      <w:r>
        <w:rPr>
          <w:rFonts w:hint="eastAsia" w:ascii="仿宋_GB2312" w:cs="Times New Roman"/>
          <w:szCs w:val="32"/>
        </w:rPr>
        <w:t>（5）保墒灌溉。高温季节采用覆草等方式保墒，根据干旱情况酌情灌溉。</w:t>
      </w:r>
    </w:p>
    <w:p>
      <w:pPr>
        <w:ind w:firstLine="640"/>
        <w:rPr>
          <w:rFonts w:ascii="仿宋_GB2312" w:cs="Times New Roman"/>
          <w:szCs w:val="32"/>
        </w:rPr>
      </w:pPr>
      <w:r>
        <w:rPr>
          <w:rFonts w:hint="eastAsia" w:ascii="仿宋_GB2312" w:cs="Times New Roman"/>
          <w:szCs w:val="32"/>
        </w:rPr>
        <w:t>（6）整形修剪。疏除病虫枝、细弱枝、过密枝、交叉枝、重叠枝，控制树冠横向扩展。</w:t>
      </w:r>
    </w:p>
    <w:p>
      <w:pPr>
        <w:ind w:firstLine="640"/>
        <w:rPr>
          <w:rFonts w:ascii="仿宋_GB2312" w:cs="Times New Roman"/>
          <w:szCs w:val="32"/>
        </w:rPr>
      </w:pPr>
      <w:r>
        <w:rPr>
          <w:rFonts w:hint="eastAsia" w:ascii="仿宋_GB2312" w:cs="Times New Roman"/>
          <w:szCs w:val="32"/>
        </w:rPr>
        <w:t>（7）辅助授粉。授粉树配置合理，以自然授粉为主。将收集花粉装入纱布袋在林冠层抖动授粉或用花粉的蔗糖水溶液喷洒辅助授粉。</w:t>
      </w:r>
    </w:p>
    <w:p>
      <w:pPr>
        <w:ind w:firstLine="640"/>
        <w:rPr>
          <w:rFonts w:ascii="仿宋_GB2312" w:cs="Times New Roman"/>
          <w:szCs w:val="32"/>
        </w:rPr>
      </w:pPr>
      <w:r>
        <w:rPr>
          <w:rFonts w:hint="eastAsia" w:ascii="仿宋_GB2312" w:cs="Times New Roman"/>
          <w:szCs w:val="32"/>
        </w:rPr>
        <w:t>（8）病虫害防治。预防为主，综合防治，采用物理、生物防治为主，采用高效、低毒、低残留农药进行针对性防治。</w:t>
      </w:r>
    </w:p>
    <w:p>
      <w:pPr>
        <w:ind w:firstLine="643"/>
        <w:rPr>
          <w:rFonts w:ascii="仿宋_GB2312" w:cs="Times New Roman"/>
          <w:b/>
          <w:szCs w:val="32"/>
        </w:rPr>
      </w:pPr>
      <w:r>
        <w:rPr>
          <w:rFonts w:hint="eastAsia" w:ascii="仿宋_GB2312" w:cs="Times New Roman"/>
          <w:b/>
          <w:szCs w:val="32"/>
        </w:rPr>
        <w:t>5.5.2验收要求</w:t>
      </w:r>
    </w:p>
    <w:p>
      <w:pPr>
        <w:ind w:firstLine="640"/>
        <w:rPr>
          <w:rFonts w:ascii="仿宋_GB2312" w:cs="Times New Roman"/>
          <w:szCs w:val="32"/>
        </w:rPr>
      </w:pPr>
      <w:r>
        <w:rPr>
          <w:rFonts w:hint="eastAsia" w:ascii="仿宋_GB2312" w:cs="Times New Roman"/>
          <w:szCs w:val="32"/>
        </w:rPr>
        <w:t>（1）制定抚育管理实施方案。</w:t>
      </w:r>
    </w:p>
    <w:p>
      <w:pPr>
        <w:ind w:firstLine="640"/>
        <w:rPr>
          <w:rFonts w:ascii="仿宋_GB2312" w:cs="Times New Roman"/>
          <w:szCs w:val="32"/>
        </w:rPr>
      </w:pPr>
      <w:r>
        <w:rPr>
          <w:rFonts w:hint="eastAsia" w:ascii="仿宋_GB2312" w:cs="Times New Roman"/>
          <w:szCs w:val="32"/>
        </w:rPr>
        <w:t>（2）灌木、藤条、杂草少，山核桃长势较好、管理规范，林地无明显病虫害。</w:t>
      </w:r>
    </w:p>
    <w:p>
      <w:pPr>
        <w:ind w:firstLine="640"/>
        <w:rPr>
          <w:rFonts w:ascii="仿宋_GB2312" w:cs="Times New Roman"/>
          <w:szCs w:val="32"/>
        </w:rPr>
      </w:pPr>
      <w:r>
        <w:rPr>
          <w:rFonts w:hint="eastAsia" w:ascii="仿宋_GB2312" w:cs="Times New Roman"/>
          <w:szCs w:val="32"/>
        </w:rPr>
        <w:t>（3）生态化经营面积≥60%。</w:t>
      </w:r>
    </w:p>
    <w:p>
      <w:pPr>
        <w:ind w:firstLine="640"/>
        <w:rPr>
          <w:rFonts w:ascii="仿宋_GB2312" w:cs="Times New Roman"/>
          <w:szCs w:val="32"/>
        </w:rPr>
      </w:pPr>
      <w:r>
        <w:rPr>
          <w:rFonts w:hint="eastAsia" w:ascii="仿宋_GB2312" w:cs="Times New Roman"/>
          <w:szCs w:val="32"/>
        </w:rPr>
        <w:t>（4）抚育后薄壳山核桃10～13株/亩。</w:t>
      </w:r>
    </w:p>
    <w:p>
      <w:pPr>
        <w:ind w:firstLine="640"/>
        <w:rPr>
          <w:rFonts w:ascii="仿宋_GB2312" w:cs="Times New Roman"/>
          <w:szCs w:val="32"/>
        </w:rPr>
      </w:pPr>
      <w:r>
        <w:rPr>
          <w:rFonts w:hint="eastAsia" w:ascii="仿宋_GB2312" w:cs="Times New Roman"/>
          <w:szCs w:val="32"/>
        </w:rPr>
        <w:t>（5）生产管理、管护、生产投入品（药品、肥料等）记录完备，有生产经营记录台账和相关文件、照片等工作档案；</w:t>
      </w:r>
    </w:p>
    <w:p>
      <w:pPr>
        <w:ind w:firstLine="640"/>
        <w:rPr>
          <w:rFonts w:ascii="仿宋_GB2312" w:cs="Times New Roman"/>
          <w:szCs w:val="32"/>
        </w:rPr>
      </w:pPr>
      <w:r>
        <w:rPr>
          <w:rFonts w:hint="eastAsia" w:ascii="仿宋_GB2312" w:cs="Times New Roman"/>
          <w:szCs w:val="32"/>
        </w:rPr>
        <w:t>（6）建立责任专家挂钩联系制度。</w:t>
      </w:r>
    </w:p>
    <w:p>
      <w:pPr>
        <w:ind w:firstLine="640"/>
        <w:rPr>
          <w:rFonts w:ascii="仿宋_GB2312" w:cs="Times New Roman"/>
          <w:szCs w:val="32"/>
        </w:rPr>
      </w:pPr>
      <w:r>
        <w:rPr>
          <w:rFonts w:hint="eastAsia" w:ascii="仿宋_GB2312" w:cs="Times New Roman"/>
          <w:szCs w:val="32"/>
        </w:rPr>
        <w:t>（7）由县级林业主管部门组织专家进行检查验收。</w:t>
      </w:r>
    </w:p>
    <w:p>
      <w:pPr>
        <w:ind w:firstLine="640"/>
        <w:rPr>
          <w:rFonts w:cs="Times New Roman"/>
        </w:rPr>
      </w:pPr>
    </w:p>
    <w:p>
      <w:pPr>
        <w:ind w:firstLine="640"/>
        <w:rPr>
          <w:rFonts w:cs="Times New Roman"/>
        </w:rPr>
        <w:sectPr>
          <w:pgSz w:w="11906" w:h="16838"/>
          <w:pgMar w:top="1928" w:right="1304" w:bottom="1531" w:left="1531" w:header="851" w:footer="1474" w:gutter="0"/>
          <w:cols w:space="425" w:num="1"/>
          <w:docGrid w:type="lines" w:linePitch="435" w:charSpace="0"/>
        </w:sectPr>
      </w:pPr>
    </w:p>
    <w:p>
      <w:pPr>
        <w:pStyle w:val="2"/>
        <w:spacing w:before="0" w:after="0"/>
        <w:ind w:firstLine="0" w:firstLineChars="0"/>
        <w:rPr>
          <w:rFonts w:ascii="方正小标宋简体" w:eastAsia="方正小标宋简体" w:cs="Times New Roman"/>
          <w:b w:val="0"/>
          <w:sz w:val="44"/>
        </w:rPr>
      </w:pPr>
      <w:bookmarkStart w:id="19" w:name="_Toc80367067"/>
      <w:r>
        <w:rPr>
          <w:rFonts w:hint="eastAsia" w:ascii="方正小标宋简体" w:eastAsia="方正小标宋简体" w:cs="Times New Roman"/>
          <w:b w:val="0"/>
          <w:sz w:val="44"/>
        </w:rPr>
        <w:t>六、生态廊道建设指导意见</w:t>
      </w:r>
      <w:bookmarkEnd w:id="19"/>
    </w:p>
    <w:p>
      <w:pPr>
        <w:ind w:firstLine="640"/>
        <w:rPr>
          <w:rFonts w:ascii="仿宋_GB2312"/>
          <w:szCs w:val="32"/>
        </w:rPr>
      </w:pPr>
    </w:p>
    <w:p>
      <w:pPr>
        <w:ind w:firstLine="640"/>
        <w:rPr>
          <w:rFonts w:ascii="黑体" w:hAnsi="黑体" w:eastAsia="黑体" w:cs="Times New Roman"/>
          <w:bCs/>
          <w:szCs w:val="32"/>
        </w:rPr>
      </w:pPr>
      <w:r>
        <w:rPr>
          <w:rFonts w:hint="eastAsia" w:ascii="黑体" w:hAnsi="黑体" w:eastAsia="黑体" w:cs="Times New Roman"/>
          <w:bCs/>
          <w:szCs w:val="32"/>
        </w:rPr>
        <w:t>1总则</w:t>
      </w:r>
    </w:p>
    <w:p>
      <w:pPr>
        <w:ind w:firstLine="640"/>
        <w:rPr>
          <w:rFonts w:ascii="仿宋_GB2312" w:cs="Times New Roman"/>
          <w:szCs w:val="32"/>
        </w:rPr>
      </w:pPr>
      <w:r>
        <w:rPr>
          <w:rFonts w:hint="eastAsia" w:ascii="仿宋_GB2312" w:cs="Times New Roman"/>
          <w:szCs w:val="32"/>
        </w:rPr>
        <w:t>为科学开展《浙江省千万亩森林质量精准提升工程方案（2021-2025年）》中生态廊道建设，特制定本指导意见。</w:t>
      </w:r>
    </w:p>
    <w:p>
      <w:pPr>
        <w:ind w:firstLine="640"/>
        <w:rPr>
          <w:rFonts w:ascii="黑体" w:hAnsi="黑体" w:eastAsia="黑体" w:cs="Times New Roman"/>
          <w:bCs/>
          <w:szCs w:val="32"/>
        </w:rPr>
      </w:pPr>
      <w:r>
        <w:rPr>
          <w:rFonts w:hint="eastAsia" w:ascii="黑体" w:hAnsi="黑体" w:eastAsia="黑体" w:cs="Times New Roman"/>
          <w:bCs/>
          <w:szCs w:val="32"/>
        </w:rPr>
        <w:t>2规范性引用文件</w:t>
      </w:r>
    </w:p>
    <w:p>
      <w:pPr>
        <w:ind w:firstLine="640"/>
        <w:rPr>
          <w:rFonts w:ascii="仿宋_GB2312" w:cs="Times New Roman"/>
          <w:szCs w:val="32"/>
        </w:rPr>
      </w:pPr>
      <w:r>
        <w:rPr>
          <w:rFonts w:hint="eastAsia" w:ascii="仿宋_GB2312" w:cs="Times New Roman"/>
          <w:szCs w:val="32"/>
        </w:rPr>
        <w:t>下列文件对于本指导意见的应用必不可少。凡是注日期的引用文件，仅注日期的版本适合本指导意见。凡是不注日期的引用文件，其最新版本（包括所有的修改单）适用于本指导意见。</w:t>
      </w:r>
    </w:p>
    <w:p>
      <w:pPr>
        <w:ind w:firstLine="640"/>
        <w:rPr>
          <w:rFonts w:ascii="仿宋_GB2312" w:cs="Times New Roman"/>
          <w:szCs w:val="32"/>
        </w:rPr>
      </w:pPr>
      <w:r>
        <w:rPr>
          <w:rFonts w:hint="eastAsia" w:ascii="仿宋_GB2312" w:cs="Times New Roman"/>
          <w:szCs w:val="32"/>
        </w:rPr>
        <w:t>GB/T1.1 标准化工作导则</w:t>
      </w:r>
    </w:p>
    <w:p>
      <w:pPr>
        <w:ind w:firstLine="640"/>
        <w:rPr>
          <w:rFonts w:ascii="仿宋_GB2312" w:cs="Times New Roman"/>
          <w:szCs w:val="32"/>
        </w:rPr>
      </w:pPr>
      <w:r>
        <w:rPr>
          <w:rFonts w:hint="eastAsia" w:ascii="仿宋_GB2312" w:cs="Times New Roman"/>
          <w:szCs w:val="32"/>
        </w:rPr>
        <w:t>GB/T 15781 森林抚育规程</w:t>
      </w:r>
    </w:p>
    <w:p>
      <w:pPr>
        <w:ind w:firstLine="640"/>
        <w:rPr>
          <w:rFonts w:ascii="仿宋_GB2312" w:cs="Times New Roman"/>
          <w:szCs w:val="32"/>
        </w:rPr>
      </w:pPr>
      <w:r>
        <w:rPr>
          <w:rFonts w:hint="eastAsia" w:ascii="仿宋_GB2312" w:cs="Times New Roman"/>
          <w:szCs w:val="32"/>
        </w:rPr>
        <w:t>GB/T 15776 造林技术规程</w:t>
      </w:r>
    </w:p>
    <w:p>
      <w:pPr>
        <w:ind w:firstLine="640"/>
        <w:rPr>
          <w:rFonts w:ascii="仿宋_GB2312" w:cs="Times New Roman"/>
          <w:szCs w:val="32"/>
        </w:rPr>
      </w:pPr>
      <w:r>
        <w:rPr>
          <w:rFonts w:hint="eastAsia" w:ascii="仿宋_GB2312" w:cs="Times New Roman"/>
          <w:szCs w:val="32"/>
        </w:rPr>
        <w:t>GB/T 15163-2018 封山（沙）育林技术规程</w:t>
      </w:r>
    </w:p>
    <w:p>
      <w:pPr>
        <w:ind w:firstLine="640"/>
        <w:rPr>
          <w:rFonts w:ascii="仿宋_GB2312" w:cs="Times New Roman"/>
          <w:szCs w:val="32"/>
        </w:rPr>
      </w:pPr>
      <w:r>
        <w:rPr>
          <w:rFonts w:hint="eastAsia" w:ascii="仿宋_GB2312" w:cs="Times New Roman"/>
          <w:szCs w:val="32"/>
        </w:rPr>
        <w:t>LY/T 1646 森林采伐作业规程</w:t>
      </w:r>
    </w:p>
    <w:p>
      <w:pPr>
        <w:ind w:firstLine="640"/>
        <w:rPr>
          <w:rFonts w:ascii="仿宋_GB2312" w:cs="Times New Roman"/>
          <w:szCs w:val="32"/>
        </w:rPr>
      </w:pPr>
      <w:r>
        <w:rPr>
          <w:rFonts w:hint="eastAsia" w:ascii="仿宋_GB2312" w:cs="Times New Roman"/>
          <w:szCs w:val="32"/>
        </w:rPr>
        <w:t>LY/T 1690 低效林改造技术规程</w:t>
      </w:r>
    </w:p>
    <w:p>
      <w:pPr>
        <w:ind w:firstLine="640"/>
        <w:rPr>
          <w:rFonts w:ascii="仿宋_GB2312" w:cs="Times New Roman"/>
          <w:szCs w:val="32"/>
        </w:rPr>
      </w:pPr>
      <w:r>
        <w:rPr>
          <w:rFonts w:hint="eastAsia" w:ascii="仿宋_GB2312" w:cs="Times New Roman"/>
          <w:szCs w:val="32"/>
        </w:rPr>
        <w:t>LY/T 1763-2008 沿海防护林体系工程建设技术规程</w:t>
      </w:r>
    </w:p>
    <w:p>
      <w:pPr>
        <w:ind w:firstLine="640"/>
        <w:rPr>
          <w:rFonts w:ascii="仿宋_GB2312" w:cs="Times New Roman"/>
          <w:szCs w:val="32"/>
        </w:rPr>
      </w:pPr>
      <w:r>
        <w:rPr>
          <w:rFonts w:hint="eastAsia" w:ascii="仿宋_GB2312" w:cs="Times New Roman"/>
          <w:szCs w:val="32"/>
        </w:rPr>
        <w:t>LY/T 1938-2011 红树林建设技术规程</w:t>
      </w:r>
    </w:p>
    <w:p>
      <w:pPr>
        <w:ind w:firstLine="640"/>
        <w:rPr>
          <w:rFonts w:ascii="仿宋_GB2312" w:cs="Times New Roman"/>
          <w:szCs w:val="32"/>
        </w:rPr>
      </w:pPr>
      <w:r>
        <w:rPr>
          <w:rFonts w:hint="eastAsia" w:ascii="仿宋_GB2312" w:cs="Times New Roman"/>
          <w:szCs w:val="32"/>
        </w:rPr>
        <w:t>DB33/T 840-2011 农田防护林建设技术规程</w:t>
      </w:r>
    </w:p>
    <w:p>
      <w:pPr>
        <w:ind w:firstLine="640"/>
        <w:rPr>
          <w:rFonts w:ascii="仿宋_GB2312" w:cs="Times New Roman"/>
          <w:szCs w:val="32"/>
        </w:rPr>
      </w:pPr>
      <w:r>
        <w:rPr>
          <w:rFonts w:hint="eastAsia" w:ascii="仿宋_GB2312" w:cs="Times New Roman"/>
          <w:szCs w:val="32"/>
        </w:rPr>
        <w:t>GB／T 30600-2014 高标准农田建设通则</w:t>
      </w:r>
    </w:p>
    <w:p>
      <w:pPr>
        <w:ind w:firstLine="640"/>
        <w:rPr>
          <w:rFonts w:ascii="黑体" w:hAnsi="黑体" w:eastAsia="黑体" w:cs="Times New Roman"/>
          <w:bCs/>
          <w:szCs w:val="32"/>
        </w:rPr>
      </w:pPr>
      <w:r>
        <w:rPr>
          <w:rFonts w:hint="eastAsia" w:ascii="黑体" w:hAnsi="黑体" w:eastAsia="黑体" w:cs="Times New Roman"/>
          <w:bCs/>
          <w:szCs w:val="32"/>
        </w:rPr>
        <w:t>3定义、类型及范围</w:t>
      </w:r>
    </w:p>
    <w:p>
      <w:pPr>
        <w:ind w:firstLine="640"/>
        <w:rPr>
          <w:rFonts w:ascii="楷体_GB2312" w:eastAsia="楷体_GB2312" w:cs="Times New Roman"/>
          <w:szCs w:val="32"/>
        </w:rPr>
      </w:pPr>
      <w:r>
        <w:rPr>
          <w:rFonts w:hint="eastAsia" w:ascii="楷体_GB2312" w:eastAsia="楷体_GB2312" w:cs="Times New Roman"/>
          <w:szCs w:val="32"/>
        </w:rPr>
        <w:t>3.1生态廊道定义</w:t>
      </w:r>
    </w:p>
    <w:p>
      <w:pPr>
        <w:ind w:firstLine="640"/>
        <w:rPr>
          <w:rFonts w:ascii="仿宋_GB2312" w:cs="Times New Roman"/>
          <w:szCs w:val="32"/>
        </w:rPr>
      </w:pPr>
      <w:r>
        <w:rPr>
          <w:rFonts w:hint="eastAsia" w:ascii="仿宋_GB2312" w:cs="Times New Roman"/>
          <w:szCs w:val="32"/>
        </w:rPr>
        <w:t>生态廊道是指统筹区域内山脉、河流、海岸、森林、湿地、农田、道路等要素，通过实施山水林田湖草海系统保护修复措施，连接分散的生态斑块和景观单位，具有保护重要生态资源、保障生物栖息和迁徙、展示优美自然风景、提供优质生态产品的互联互通的带状自然生态空间。</w:t>
      </w:r>
    </w:p>
    <w:p>
      <w:pPr>
        <w:ind w:firstLine="640"/>
        <w:rPr>
          <w:rFonts w:ascii="楷体_GB2312" w:hAnsi="黑体" w:eastAsia="楷体_GB2312" w:cs="Times New Roman"/>
          <w:szCs w:val="32"/>
        </w:rPr>
      </w:pPr>
      <w:r>
        <w:rPr>
          <w:rFonts w:hint="eastAsia" w:ascii="楷体_GB2312" w:hAnsi="黑体" w:eastAsia="楷体_GB2312" w:cs="Times New Roman"/>
          <w:szCs w:val="32"/>
        </w:rPr>
        <w:t>3.2生态廊道类型及本次建设范围</w:t>
      </w:r>
    </w:p>
    <w:p>
      <w:pPr>
        <w:ind w:firstLine="643"/>
        <w:rPr>
          <w:rFonts w:ascii="仿宋_GB2312" w:cs="Times New Roman"/>
          <w:b/>
          <w:szCs w:val="32"/>
        </w:rPr>
      </w:pPr>
      <w:r>
        <w:rPr>
          <w:rFonts w:hint="eastAsia" w:ascii="仿宋_GB2312" w:cs="Times New Roman"/>
          <w:b/>
          <w:szCs w:val="32"/>
        </w:rPr>
        <w:t>3.2.1河流生态廊道</w:t>
      </w:r>
    </w:p>
    <w:p>
      <w:pPr>
        <w:ind w:firstLine="640"/>
        <w:rPr>
          <w:rFonts w:ascii="仿宋_GB2312" w:cs="Times New Roman"/>
          <w:szCs w:val="32"/>
        </w:rPr>
      </w:pPr>
      <w:r>
        <w:rPr>
          <w:rFonts w:hint="eastAsia" w:ascii="仿宋_GB2312" w:cs="Times New Roman"/>
          <w:szCs w:val="32"/>
        </w:rPr>
        <w:t>河流生态廊道是指依托浙江省八大水系等河流走向形成的起到涵养水源、调蓄洪水、净化水质、保护水资源和水生生物等作用的带状生态廊道。通过对河流生态廊道内的山林、湿地、农田等生态系统开展生态保护修复措施，保护修复现有湿地资源，为野生动物提供栖息地，为附近居民提供景观休闲场所。</w:t>
      </w:r>
    </w:p>
    <w:p>
      <w:pPr>
        <w:ind w:firstLine="640"/>
        <w:rPr>
          <w:rFonts w:ascii="仿宋_GB2312" w:cs="Times New Roman"/>
          <w:szCs w:val="32"/>
        </w:rPr>
      </w:pPr>
      <w:r>
        <w:rPr>
          <w:rFonts w:hint="eastAsia" w:ascii="仿宋_GB2312" w:cs="Times New Roman"/>
          <w:szCs w:val="32"/>
        </w:rPr>
        <w:t>本次美丽生态廊道建设工程中，河流生态廊道建设范围主要是指钱塘江流域、瓯江流域、京杭大运河等沿途岸线至第一层山脊线区域及沿途平原区内的森林湿地等自然生态空间。</w:t>
      </w:r>
    </w:p>
    <w:p>
      <w:pPr>
        <w:ind w:firstLine="643"/>
        <w:rPr>
          <w:rFonts w:ascii="仿宋_GB2312" w:cs="Times New Roman"/>
          <w:b/>
          <w:szCs w:val="32"/>
        </w:rPr>
      </w:pPr>
      <w:r>
        <w:rPr>
          <w:rFonts w:hint="eastAsia" w:ascii="仿宋_GB2312" w:cs="Times New Roman"/>
          <w:b/>
          <w:szCs w:val="32"/>
        </w:rPr>
        <w:t>3.2.2道路生态廊道</w:t>
      </w:r>
    </w:p>
    <w:p>
      <w:pPr>
        <w:ind w:firstLine="640"/>
        <w:rPr>
          <w:rFonts w:ascii="仿宋_GB2312" w:cs="Times New Roman"/>
          <w:szCs w:val="32"/>
        </w:rPr>
      </w:pPr>
      <w:r>
        <w:rPr>
          <w:rFonts w:hint="eastAsia" w:ascii="仿宋_GB2312" w:cs="Times New Roman"/>
          <w:szCs w:val="32"/>
        </w:rPr>
        <w:t>道路生态廊道是指依托浙江省主要高速公路走向形成的带状生态廊道。通过对道路生态廊道内的山林、湿地、农田等开展国土绿化、湿地保护修复、农田防护林建设等措施，为各生态斑块提供联系纽带，并起到防灾减灾、水土保持，提升景观等作用。</w:t>
      </w:r>
    </w:p>
    <w:p>
      <w:pPr>
        <w:ind w:firstLine="640"/>
        <w:rPr>
          <w:rFonts w:ascii="仿宋_GB2312" w:cs="Times New Roman"/>
          <w:szCs w:val="32"/>
        </w:rPr>
      </w:pPr>
      <w:r>
        <w:rPr>
          <w:rFonts w:hint="eastAsia" w:ascii="仿宋_GB2312" w:cs="Times New Roman"/>
          <w:szCs w:val="32"/>
        </w:rPr>
        <w:t>本次美丽生态廊道建设工程中，道路生态廊道建设范围主要是指杭新景高速、龙丽温高速、常台高速上三段等的高速公路沿途两侧至第一层山脊线区域及沿途平原区内的森林湿地等自然生态空间。</w:t>
      </w:r>
    </w:p>
    <w:p>
      <w:pPr>
        <w:ind w:firstLine="643"/>
        <w:rPr>
          <w:rFonts w:ascii="仿宋_GB2312" w:cs="Times New Roman"/>
          <w:b/>
          <w:szCs w:val="32"/>
        </w:rPr>
      </w:pPr>
      <w:r>
        <w:rPr>
          <w:rFonts w:hint="eastAsia" w:ascii="仿宋_GB2312" w:cs="Times New Roman"/>
          <w:b/>
          <w:szCs w:val="32"/>
        </w:rPr>
        <w:t>3.2.3海岸生态廊道</w:t>
      </w:r>
    </w:p>
    <w:p>
      <w:pPr>
        <w:ind w:firstLine="640"/>
        <w:rPr>
          <w:rFonts w:ascii="仿宋_GB2312" w:cs="Times New Roman"/>
          <w:szCs w:val="32"/>
        </w:rPr>
      </w:pPr>
      <w:r>
        <w:rPr>
          <w:rFonts w:hint="eastAsia" w:ascii="仿宋_GB2312" w:cs="Times New Roman"/>
          <w:szCs w:val="32"/>
        </w:rPr>
        <w:t>海岸生态廊道是指海洋与陆地界面向陆一侧扩展一定宽度，串联起沿海城镇、乡村、自然保护地等的带状区域。通过对海岸生态廊道内的沿海基干林、滩涂湿地、农田等多种自然要素开展人工造林、森林抚育、湿地保护修复、防护林网建设等措施，为迁徙鸟类提供栖息地，构筑生态安全屏障、保护生物多样性、防灾减灾、提供沿海休闲旅游等。</w:t>
      </w:r>
    </w:p>
    <w:p>
      <w:pPr>
        <w:ind w:firstLine="640"/>
        <w:rPr>
          <w:rFonts w:ascii="仿宋_GB2312" w:cs="Times New Roman"/>
          <w:szCs w:val="32"/>
        </w:rPr>
      </w:pPr>
      <w:r>
        <w:rPr>
          <w:rFonts w:hint="eastAsia" w:ascii="仿宋_GB2312" w:cs="Times New Roman"/>
          <w:szCs w:val="32"/>
        </w:rPr>
        <w:t>本次美丽生态廊道建设工程中，海岸生态廊道建设范围主要是指海岸线向内陆延伸第一层山脊线区域及沿途平原区内的森林湿地等自然生态空间，以及海岸线向海面延伸的滩涂湿地等重点生态保护区域。</w:t>
      </w:r>
    </w:p>
    <w:p>
      <w:pPr>
        <w:ind w:firstLine="643"/>
        <w:rPr>
          <w:rFonts w:ascii="仿宋_GB2312" w:cs="Times New Roman"/>
          <w:b/>
          <w:szCs w:val="32"/>
        </w:rPr>
      </w:pPr>
      <w:r>
        <w:rPr>
          <w:rFonts w:hint="eastAsia" w:ascii="仿宋_GB2312" w:cs="Times New Roman"/>
          <w:b/>
          <w:szCs w:val="32"/>
        </w:rPr>
        <w:t>3.2.4山岭生态廊道</w:t>
      </w:r>
    </w:p>
    <w:p>
      <w:pPr>
        <w:ind w:firstLine="640"/>
        <w:rPr>
          <w:rFonts w:ascii="仿宋_GB2312" w:cs="Times New Roman"/>
          <w:szCs w:val="32"/>
        </w:rPr>
      </w:pPr>
      <w:r>
        <w:rPr>
          <w:rFonts w:hint="eastAsia" w:ascii="仿宋_GB2312" w:cs="Times New Roman"/>
          <w:szCs w:val="32"/>
        </w:rPr>
        <w:t>山岭生态廊道是指依托浙江省重要山岭、森林古道等走向形成的生物迁徙或活动的带状生态廊道。通过对森林生态系统和生物生境的保护修复，达到增强生物活动区域的连通性，满足生物迁徙和生境需求、保护生物多样性、生物遗传基因流动、能量转化与流动等多种功能，同时满足森林康养等休闲养生作用。</w:t>
      </w:r>
    </w:p>
    <w:p>
      <w:pPr>
        <w:ind w:firstLine="640"/>
        <w:rPr>
          <w:rFonts w:ascii="仿宋_GB2312" w:cs="Times New Roman"/>
          <w:szCs w:val="32"/>
        </w:rPr>
      </w:pPr>
      <w:r>
        <w:rPr>
          <w:rFonts w:hint="eastAsia" w:ascii="仿宋_GB2312" w:cs="Times New Roman"/>
          <w:szCs w:val="32"/>
        </w:rPr>
        <w:t>本次美丽生态廊道建设工程中，暂不涉及山岭生态廊道。建议在美丽林相建设中，可以优先选择以森林古道、森林步道为依托的山岭生态廊道建设区域，串联重要生态保护区位，打造美丽生态子廊道。</w:t>
      </w:r>
    </w:p>
    <w:p>
      <w:pPr>
        <w:ind w:firstLine="640"/>
        <w:rPr>
          <w:rFonts w:ascii="黑体" w:hAnsi="黑体" w:eastAsia="黑体" w:cs="Times New Roman"/>
          <w:b/>
          <w:bCs/>
          <w:szCs w:val="32"/>
        </w:rPr>
      </w:pPr>
      <w:r>
        <w:rPr>
          <w:rFonts w:hint="eastAsia" w:ascii="黑体" w:hAnsi="黑体" w:eastAsia="黑体" w:cs="Times New Roman"/>
          <w:szCs w:val="32"/>
        </w:rPr>
        <w:t>4</w:t>
      </w:r>
      <w:r>
        <w:rPr>
          <w:rFonts w:hint="eastAsia" w:ascii="黑体" w:hAnsi="黑体" w:eastAsia="黑体" w:cs="Times New Roman"/>
          <w:b/>
          <w:bCs/>
          <w:szCs w:val="32"/>
        </w:rPr>
        <w:t>建设原则</w:t>
      </w:r>
    </w:p>
    <w:p>
      <w:pPr>
        <w:ind w:firstLine="640"/>
        <w:rPr>
          <w:rFonts w:ascii="楷体_GB2312" w:eastAsia="楷体_GB2312" w:cs="Times New Roman"/>
          <w:szCs w:val="32"/>
        </w:rPr>
      </w:pPr>
      <w:r>
        <w:rPr>
          <w:rFonts w:hint="eastAsia" w:ascii="楷体_GB2312" w:eastAsia="楷体_GB2312" w:cs="Times New Roman"/>
          <w:szCs w:val="32"/>
        </w:rPr>
        <w:t>4.1生态优先、绿色发展</w:t>
      </w:r>
    </w:p>
    <w:p>
      <w:pPr>
        <w:ind w:firstLine="640"/>
        <w:rPr>
          <w:rFonts w:ascii="仿宋_GB2312" w:cs="Times New Roman"/>
          <w:szCs w:val="32"/>
        </w:rPr>
      </w:pPr>
      <w:r>
        <w:rPr>
          <w:rFonts w:hint="eastAsia" w:ascii="仿宋_GB2312" w:cs="Times New Roman"/>
          <w:szCs w:val="32"/>
        </w:rPr>
        <w:t>生态廊道建设种应充分尊重自然、顺应自然，保护恢复廊道内自然景观和生态系统，维护生物多样性，构建安全、稳定的自然生态系统。</w:t>
      </w:r>
    </w:p>
    <w:p>
      <w:pPr>
        <w:ind w:firstLine="640"/>
        <w:rPr>
          <w:rFonts w:ascii="楷体_GB2312" w:eastAsia="楷体_GB2312" w:cs="Times New Roman"/>
          <w:szCs w:val="32"/>
        </w:rPr>
      </w:pPr>
      <w:r>
        <w:rPr>
          <w:rFonts w:hint="eastAsia" w:ascii="楷体_GB2312" w:eastAsia="楷体_GB2312" w:cs="Times New Roman"/>
          <w:szCs w:val="32"/>
        </w:rPr>
        <w:t>4.2系统谋划、分类施策</w:t>
      </w:r>
    </w:p>
    <w:p>
      <w:pPr>
        <w:ind w:firstLine="640"/>
        <w:rPr>
          <w:rFonts w:ascii="仿宋_GB2312" w:cs="Times New Roman"/>
          <w:szCs w:val="32"/>
        </w:rPr>
      </w:pPr>
      <w:r>
        <w:rPr>
          <w:rFonts w:hint="eastAsia" w:ascii="仿宋_GB2312" w:cs="Times New Roman"/>
          <w:szCs w:val="32"/>
        </w:rPr>
        <w:t>基于山地丘陵、平原水网等不同的地形地貌，统筹规划不同类型的廊道空间，采取不同的建设手段，科学开展绿化，形成多样、稳定的廊道网络。</w:t>
      </w:r>
    </w:p>
    <w:p>
      <w:pPr>
        <w:ind w:firstLine="640"/>
        <w:rPr>
          <w:rFonts w:ascii="楷体_GB2312" w:eastAsia="楷体_GB2312" w:cs="Times New Roman"/>
          <w:szCs w:val="32"/>
        </w:rPr>
      </w:pPr>
      <w:r>
        <w:rPr>
          <w:rFonts w:hint="eastAsia" w:ascii="楷体_GB2312" w:eastAsia="楷体_GB2312" w:cs="Times New Roman"/>
          <w:szCs w:val="32"/>
        </w:rPr>
        <w:t>4.3因地制宜、量质并举</w:t>
      </w:r>
    </w:p>
    <w:p>
      <w:pPr>
        <w:ind w:firstLine="640"/>
        <w:rPr>
          <w:rFonts w:ascii="仿宋_GB2312" w:cs="Times New Roman"/>
          <w:szCs w:val="32"/>
        </w:rPr>
      </w:pPr>
      <w:r>
        <w:rPr>
          <w:rFonts w:hint="eastAsia" w:ascii="仿宋_GB2312" w:cs="Times New Roman"/>
          <w:szCs w:val="32"/>
        </w:rPr>
        <w:t>按照宜封则封、宜林则林的原则，突出生态廊道沿途的地方特色，打造结构合理、特色明显、功能完备、景色优美的美丽生态廊道。</w:t>
      </w:r>
    </w:p>
    <w:p>
      <w:pPr>
        <w:ind w:firstLine="640"/>
        <w:rPr>
          <w:rFonts w:ascii="黑体" w:hAnsi="黑体" w:eastAsia="黑体" w:cs="Times New Roman"/>
          <w:b/>
          <w:bCs/>
          <w:szCs w:val="32"/>
        </w:rPr>
      </w:pPr>
      <w:r>
        <w:rPr>
          <w:rFonts w:hint="eastAsia" w:ascii="黑体" w:hAnsi="黑体" w:eastAsia="黑体" w:cs="Times New Roman"/>
          <w:szCs w:val="32"/>
        </w:rPr>
        <w:t>5</w:t>
      </w:r>
      <w:r>
        <w:rPr>
          <w:rFonts w:hint="eastAsia" w:ascii="黑体" w:hAnsi="黑体" w:eastAsia="黑体" w:cs="Times New Roman"/>
          <w:b/>
          <w:bCs/>
          <w:szCs w:val="32"/>
        </w:rPr>
        <w:t>建设要求</w:t>
      </w:r>
    </w:p>
    <w:p>
      <w:pPr>
        <w:ind w:firstLine="640"/>
        <w:rPr>
          <w:rFonts w:ascii="楷体_GB2312" w:eastAsia="楷体_GB2312" w:cs="Times New Roman"/>
          <w:bCs/>
          <w:szCs w:val="32"/>
        </w:rPr>
      </w:pPr>
      <w:r>
        <w:rPr>
          <w:rFonts w:hint="eastAsia" w:ascii="楷体_GB2312" w:eastAsia="楷体_GB2312" w:cs="Times New Roman"/>
          <w:bCs/>
          <w:szCs w:val="32"/>
        </w:rPr>
        <w:t>5.1保护廊道内生物多样性</w:t>
      </w:r>
    </w:p>
    <w:p>
      <w:pPr>
        <w:ind w:firstLine="640"/>
        <w:rPr>
          <w:rFonts w:ascii="仿宋_GB2312" w:cs="Times New Roman"/>
          <w:szCs w:val="32"/>
        </w:rPr>
      </w:pPr>
      <w:r>
        <w:rPr>
          <w:rFonts w:hint="eastAsia" w:ascii="仿宋_GB2312" w:cs="Times New Roman"/>
          <w:szCs w:val="32"/>
        </w:rPr>
        <w:t>结合生态廊道所经过区域现有的自然资源特点，加强廊道内野生动植物栖息地和生境的保护恢复，严格保护廊道内的森林植被、湿地等，努力构建适合目标种生存的生态系统，增强廊道与生态源之间的有效连接，提高廊道的生物栖息和迁徙作用，从而达到保护生物多样性的目的。</w:t>
      </w:r>
    </w:p>
    <w:p>
      <w:pPr>
        <w:ind w:firstLine="643"/>
        <w:rPr>
          <w:rFonts w:ascii="仿宋_GB2312" w:cs="Times New Roman"/>
          <w:b/>
          <w:szCs w:val="32"/>
        </w:rPr>
      </w:pPr>
      <w:r>
        <w:rPr>
          <w:rFonts w:hint="eastAsia" w:ascii="仿宋_GB2312" w:cs="Times New Roman"/>
          <w:b/>
          <w:szCs w:val="32"/>
        </w:rPr>
        <w:t>5.1.1应绿尽绿，构建廊道内自然连通性</w:t>
      </w:r>
    </w:p>
    <w:p>
      <w:pPr>
        <w:ind w:firstLine="640"/>
        <w:rPr>
          <w:rFonts w:ascii="仿宋_GB2312" w:cs="Times New Roman"/>
          <w:szCs w:val="32"/>
        </w:rPr>
      </w:pPr>
      <w:r>
        <w:rPr>
          <w:rFonts w:hint="eastAsia" w:ascii="仿宋_GB2312" w:cs="Times New Roman"/>
          <w:szCs w:val="32"/>
        </w:rPr>
        <w:t>廊道内宜林地、采伐迹地、火烧迹地、规划造林地、疏林地应全部绿化，灌木林地应绿尽绿，区域内绿化无明显缺株断带，保障生态廊道连通性。单段建设总长度不&lt;5公里。原则上，单段生态廊道应全线连通，断带长度不超过该条廊道平均宽度的10倍。</w:t>
      </w:r>
    </w:p>
    <w:p>
      <w:pPr>
        <w:ind w:firstLine="643"/>
        <w:rPr>
          <w:rFonts w:ascii="仿宋_GB2312" w:cs="Times New Roman"/>
          <w:b/>
          <w:szCs w:val="32"/>
        </w:rPr>
      </w:pPr>
      <w:r>
        <w:rPr>
          <w:rFonts w:hint="eastAsia" w:ascii="仿宋_GB2312" w:cs="Times New Roman"/>
          <w:b/>
          <w:szCs w:val="32"/>
        </w:rPr>
        <w:t>5.1.2保护修复廊道内野生动植物生境</w:t>
      </w:r>
    </w:p>
    <w:p>
      <w:pPr>
        <w:ind w:firstLine="648"/>
        <w:rPr>
          <w:rFonts w:ascii="仿宋_GB2312" w:cs="Times New Roman"/>
          <w:spacing w:val="2"/>
          <w:szCs w:val="32"/>
        </w:rPr>
      </w:pPr>
      <w:r>
        <w:rPr>
          <w:rFonts w:hint="eastAsia" w:ascii="仿宋_GB2312" w:cs="Times New Roman"/>
          <w:spacing w:val="2"/>
          <w:szCs w:val="32"/>
        </w:rPr>
        <w:t>对廊道内森林湿地开展</w:t>
      </w:r>
      <w:r>
        <w:rPr>
          <w:rFonts w:hint="eastAsia" w:ascii="仿宋_GB2312" w:cs="Times New Roman"/>
          <w:szCs w:val="32"/>
        </w:rPr>
        <w:t>封育管护、保护修复等措施</w:t>
      </w:r>
      <w:r>
        <w:rPr>
          <w:rFonts w:hint="eastAsia" w:ascii="仿宋_GB2312" w:cs="Times New Roman"/>
          <w:spacing w:val="2"/>
          <w:szCs w:val="32"/>
        </w:rPr>
        <w:t>，加强野生动物栖息地和野生植物生境的保护和修复，使野生动植物生境通过廊道实现有效连接。加强廊道内自然保护地建设，鼓励廊道内乡土树种发展，开展红树林保护修复。对珍稀濒危野生动植物，实施就地保护、迁地保护、种质资源保存、人工扩繁等措施，促进廊道内生物多样性发展。</w:t>
      </w:r>
    </w:p>
    <w:p>
      <w:pPr>
        <w:ind w:firstLine="640"/>
        <w:rPr>
          <w:rFonts w:ascii="楷体_GB2312" w:eastAsia="楷体_GB2312" w:cs="Times New Roman"/>
          <w:bCs/>
          <w:szCs w:val="32"/>
        </w:rPr>
      </w:pPr>
      <w:r>
        <w:rPr>
          <w:rFonts w:hint="eastAsia" w:ascii="楷体_GB2312" w:eastAsia="楷体_GB2312" w:cs="Times New Roman"/>
          <w:bCs/>
          <w:szCs w:val="32"/>
        </w:rPr>
        <w:t>5.2发挥廊道生态防护功能</w:t>
      </w:r>
    </w:p>
    <w:p>
      <w:pPr>
        <w:ind w:firstLine="640"/>
        <w:rPr>
          <w:rFonts w:ascii="仿宋_GB2312" w:cs="Times New Roman"/>
          <w:szCs w:val="32"/>
        </w:rPr>
      </w:pPr>
      <w:r>
        <w:rPr>
          <w:rFonts w:hint="eastAsia" w:ascii="仿宋_GB2312" w:cs="Times New Roman"/>
          <w:szCs w:val="32"/>
        </w:rPr>
        <w:t>充分发挥廊道中森林植被的防风固沙、保持水土和过滤空气作用，以及湿地生态的净化水质功能，通过对森林、湿地开展保护修复措施，加强廊道内各种不同类型自然生态空间的优化。建设生态廊道网络，有效地分隔城市生产、生活、生态空间，延伸生态区域，加强城乡生态系统之间的联系。</w:t>
      </w:r>
    </w:p>
    <w:p>
      <w:pPr>
        <w:ind w:firstLine="643"/>
        <w:rPr>
          <w:rFonts w:ascii="仿宋_GB2312" w:cs="Times New Roman"/>
          <w:b/>
          <w:szCs w:val="32"/>
        </w:rPr>
      </w:pPr>
      <w:r>
        <w:rPr>
          <w:rFonts w:hint="eastAsia" w:ascii="仿宋_GB2312" w:cs="Times New Roman"/>
          <w:b/>
          <w:szCs w:val="32"/>
        </w:rPr>
        <w:t>5.2.1加强山地丘陵地区廊道的生态防护功能</w:t>
      </w:r>
    </w:p>
    <w:p>
      <w:pPr>
        <w:ind w:firstLine="648"/>
        <w:rPr>
          <w:rFonts w:ascii="仿宋_GB2312" w:cs="Times New Roman"/>
          <w:szCs w:val="32"/>
        </w:rPr>
      </w:pPr>
      <w:r>
        <w:rPr>
          <w:rFonts w:hint="eastAsia" w:ascii="仿宋_GB2312" w:cs="Times New Roman"/>
          <w:spacing w:val="2"/>
          <w:szCs w:val="32"/>
        </w:rPr>
        <w:t>对廊道内</w:t>
      </w:r>
      <w:r>
        <w:rPr>
          <w:rFonts w:hint="eastAsia" w:ascii="仿宋_GB2312" w:cs="Times New Roman"/>
          <w:szCs w:val="32"/>
        </w:rPr>
        <w:t>天然林、公益林和国有森林资源加强保护管理，维护天然林生态系统的完整性，构建生态屏障。分析山地森林类型、立地质量等，依据宜封则封，宜抚则抚的原则，</w:t>
      </w:r>
      <w:r>
        <w:rPr>
          <w:rFonts w:hint="eastAsia" w:ascii="仿宋_GB2312" w:cs="Times New Roman"/>
          <w:spacing w:val="2"/>
          <w:szCs w:val="32"/>
        </w:rPr>
        <w:t>对林相较好区域实行封育管护措施，可对实施作业地块开展</w:t>
      </w:r>
      <w:r>
        <w:rPr>
          <w:rFonts w:hint="eastAsia" w:ascii="仿宋_GB2312" w:cs="Times New Roman"/>
          <w:szCs w:val="32"/>
        </w:rPr>
        <w:t>补植、间伐、综合抚育等措施。抓好廊道内林业有害生物防控和森林消防工作，提高廊道防灾减灾能力，廊道内完成松材线虫病除治及无森林火灾发生。</w:t>
      </w:r>
    </w:p>
    <w:p>
      <w:pPr>
        <w:ind w:firstLine="643"/>
        <w:rPr>
          <w:rFonts w:ascii="仿宋_GB2312" w:cs="Times New Roman"/>
          <w:b/>
          <w:szCs w:val="32"/>
        </w:rPr>
      </w:pPr>
      <w:r>
        <w:rPr>
          <w:rFonts w:hint="eastAsia" w:ascii="仿宋_GB2312" w:cs="Times New Roman"/>
          <w:b/>
          <w:szCs w:val="32"/>
        </w:rPr>
        <w:t>5.2.2加强平原水网地区廊道的生态防护功能</w:t>
      </w:r>
    </w:p>
    <w:p>
      <w:pPr>
        <w:ind w:firstLine="640"/>
        <w:rPr>
          <w:rFonts w:ascii="仿宋_GB2312" w:cs="Times New Roman"/>
          <w:szCs w:val="32"/>
        </w:rPr>
      </w:pPr>
      <w:r>
        <w:rPr>
          <w:rFonts w:hint="eastAsia" w:ascii="仿宋_GB2312" w:cs="Times New Roman"/>
          <w:szCs w:val="32"/>
        </w:rPr>
        <w:t>对廊道内的各种适宜绿化的地块，包括内陆滩涂湿地、坡耕地、农田、交通水系沿线无植被或植被缺失的地块等，根据各地自然地理情况、群落结构和不同立地条件，按照宜林则林、应绿尽绿的原则，开展人工造林、补植、湿地保护修复，农田林网建设等措施，满足湿地、农田林网、绿道、交通、海（河）岸等绿化建设要求，通过绿化造林方式营造生态廊道。</w:t>
      </w:r>
    </w:p>
    <w:p>
      <w:pPr>
        <w:ind w:firstLine="643"/>
        <w:rPr>
          <w:rFonts w:ascii="仿宋_GB2312" w:cs="Times New Roman"/>
          <w:b/>
          <w:szCs w:val="32"/>
        </w:rPr>
      </w:pPr>
      <w:r>
        <w:rPr>
          <w:rFonts w:hint="eastAsia" w:ascii="仿宋_GB2312" w:cs="Times New Roman"/>
          <w:b/>
          <w:szCs w:val="32"/>
        </w:rPr>
        <w:t>5.2.3加强沿海地区廊道的生态防护功能</w:t>
      </w:r>
    </w:p>
    <w:p>
      <w:pPr>
        <w:ind w:firstLine="640"/>
        <w:rPr>
          <w:rFonts w:ascii="仿宋_GB2312" w:cs="Times New Roman"/>
          <w:szCs w:val="32"/>
        </w:rPr>
      </w:pPr>
      <w:r>
        <w:rPr>
          <w:rFonts w:hint="eastAsia" w:ascii="仿宋_GB2312" w:cs="Times New Roman"/>
          <w:szCs w:val="32"/>
        </w:rPr>
        <w:t>对廊道内沿海基干林、红树林等加强保护与恢复，大力开展营造红树林等措施，最终形成以防台风、风暴潮、海潮、海风和保持水土、涵养水源等为主要功能的兼具风景林属性的沿海防护林廊道体系，使沿海地区生态环境得到有效改善。</w:t>
      </w:r>
    </w:p>
    <w:p>
      <w:pPr>
        <w:ind w:firstLine="640"/>
        <w:rPr>
          <w:rFonts w:ascii="楷体_GB2312" w:eastAsia="楷体_GB2312" w:cs="Times New Roman"/>
          <w:bCs/>
          <w:szCs w:val="32"/>
        </w:rPr>
      </w:pPr>
      <w:r>
        <w:rPr>
          <w:rFonts w:hint="eastAsia" w:ascii="楷体_GB2312" w:eastAsia="楷体_GB2312" w:cs="Times New Roman"/>
          <w:szCs w:val="32"/>
        </w:rPr>
        <w:t>5.3丰富廊道的景观休闲功能</w:t>
      </w:r>
    </w:p>
    <w:p>
      <w:pPr>
        <w:ind w:firstLine="640"/>
        <w:rPr>
          <w:rFonts w:ascii="仿宋_GB2312" w:cs="Times New Roman"/>
          <w:szCs w:val="32"/>
        </w:rPr>
      </w:pPr>
      <w:r>
        <w:rPr>
          <w:rFonts w:hint="eastAsia" w:ascii="仿宋_GB2312" w:cs="Times New Roman"/>
          <w:szCs w:val="32"/>
        </w:rPr>
        <w:t>廊道内的自然人文资源，本身具有较好的景观效果，其中所包含的古树名木、名胜古迹以及生物多样性提供了多种多样的不同景观。同时，它还能为城乡居民营造良好的生活环境和休闲游憩场所，承担着自然科普和文化教育的功能。</w:t>
      </w:r>
    </w:p>
    <w:p>
      <w:pPr>
        <w:ind w:firstLine="643"/>
        <w:rPr>
          <w:rFonts w:ascii="仿宋_GB2312" w:cs="Times New Roman"/>
          <w:b/>
          <w:szCs w:val="32"/>
        </w:rPr>
      </w:pPr>
      <w:r>
        <w:rPr>
          <w:rFonts w:hint="eastAsia" w:ascii="仿宋_GB2312" w:cs="Times New Roman"/>
          <w:b/>
          <w:szCs w:val="32"/>
        </w:rPr>
        <w:t>5.3.1丰富山地丘陵地区廊道的景观功能</w:t>
      </w:r>
    </w:p>
    <w:p>
      <w:pPr>
        <w:ind w:firstLine="640"/>
        <w:rPr>
          <w:rFonts w:ascii="仿宋_GB2312" w:cs="Times New Roman"/>
          <w:szCs w:val="32"/>
        </w:rPr>
      </w:pPr>
      <w:r>
        <w:rPr>
          <w:rFonts w:hint="eastAsia" w:ascii="仿宋_GB2312" w:cs="Times New Roman"/>
          <w:szCs w:val="32"/>
        </w:rPr>
        <w:t>通过人工造林、补植等技术措施，对廊道内的山体林缘、森林古道两侧等重要景观节点区域，补植彩色树种，进行景观化打造。</w:t>
      </w:r>
    </w:p>
    <w:p>
      <w:pPr>
        <w:ind w:firstLine="643"/>
        <w:rPr>
          <w:rFonts w:ascii="仿宋_GB2312" w:cs="Times New Roman"/>
          <w:b/>
          <w:szCs w:val="32"/>
        </w:rPr>
      </w:pPr>
      <w:r>
        <w:rPr>
          <w:rFonts w:hint="eastAsia" w:ascii="仿宋_GB2312" w:cs="Times New Roman"/>
          <w:b/>
          <w:szCs w:val="32"/>
        </w:rPr>
        <w:t>5.3.2丰富平原水网地区廊道的景观功能</w:t>
      </w:r>
    </w:p>
    <w:p>
      <w:pPr>
        <w:ind w:firstLine="640"/>
        <w:rPr>
          <w:rFonts w:ascii="仿宋_GB2312" w:cs="Times New Roman"/>
          <w:szCs w:val="32"/>
        </w:rPr>
      </w:pPr>
      <w:r>
        <w:rPr>
          <w:rFonts w:hint="eastAsia" w:ascii="仿宋_GB2312" w:cs="Times New Roman"/>
          <w:szCs w:val="32"/>
        </w:rPr>
        <w:t>针对廊道内需要重点打造景观美化的区域，如高速公路出入口，交通隧道口、绿道两侧等重要节点，因地制宜地开展人工造林、补植珍贵树种、彩叶树种等措施，积极融入森林景观设计理念，彰显重要节点的景观特色，充分展现不同重点区域的自然景观和地方生态文化特色。</w:t>
      </w:r>
    </w:p>
    <w:p>
      <w:pPr>
        <w:ind w:firstLine="640"/>
        <w:rPr>
          <w:rFonts w:ascii="黑体" w:hAnsi="黑体" w:eastAsia="黑体" w:cs="Times New Roman"/>
          <w:bCs/>
          <w:szCs w:val="32"/>
        </w:rPr>
      </w:pPr>
      <w:r>
        <w:rPr>
          <w:rFonts w:hint="eastAsia" w:ascii="黑体" w:hAnsi="黑体" w:eastAsia="黑体" w:cs="Times New Roman"/>
          <w:bCs/>
          <w:szCs w:val="32"/>
        </w:rPr>
        <w:t>6建设措施</w:t>
      </w:r>
    </w:p>
    <w:p>
      <w:pPr>
        <w:ind w:firstLine="640"/>
        <w:rPr>
          <w:rFonts w:ascii="仿宋_GB2312" w:cs="Times New Roman"/>
          <w:szCs w:val="32"/>
        </w:rPr>
      </w:pPr>
      <w:r>
        <w:rPr>
          <w:rFonts w:hint="eastAsia" w:ascii="仿宋_GB2312" w:cs="Times New Roman"/>
          <w:szCs w:val="32"/>
        </w:rPr>
        <w:t>划定生态廊道范围后，根据廊道内地块的不同情况，依据“宜封则封、宜抚则抚、宜补则补、宜改则改”的原则，采用相应的建设措施，开展作业实施。生态廊道建设要求作业实施面积应占划定生态廊道总面积30%以上，作业实施面积不包括封育管护、湿地保护对应的小班面积（其中，对于生态廊道内实施的除治伐，也不计入生态廊道作业实施面积内）。原则上，生态廊道沿途的居住聚集区、工业园区以及宽度5米以上的路面、水面等，不应计入生态廊道总面积。</w:t>
      </w:r>
    </w:p>
    <w:p>
      <w:pPr>
        <w:ind w:firstLine="640"/>
        <w:rPr>
          <w:rFonts w:ascii="楷体_GB2312" w:eastAsia="楷体_GB2312" w:cs="Times New Roman"/>
          <w:bCs/>
          <w:szCs w:val="32"/>
        </w:rPr>
      </w:pPr>
      <w:r>
        <w:rPr>
          <w:rFonts w:hint="eastAsia" w:ascii="楷体_GB2312" w:eastAsia="楷体_GB2312" w:cs="Times New Roman"/>
          <w:bCs/>
          <w:szCs w:val="32"/>
        </w:rPr>
        <w:t>6.1开展封育管护及湿地保护</w:t>
      </w:r>
    </w:p>
    <w:p>
      <w:pPr>
        <w:ind w:firstLine="640"/>
        <w:rPr>
          <w:rFonts w:ascii="仿宋_GB2312" w:cs="Times New Roman"/>
          <w:szCs w:val="32"/>
        </w:rPr>
      </w:pPr>
      <w:r>
        <w:rPr>
          <w:rFonts w:hint="eastAsia" w:ascii="仿宋_GB2312" w:cs="Times New Roman"/>
          <w:szCs w:val="32"/>
        </w:rPr>
        <w:t>划入生态廊道范围内，林相总体面貌较好、长势旺盛、无明显病虫害，暂无采取人工措施必要性的林分，应进行封育管护。划入生态廊道范围内的湿地，有明确湿地保护管理责任主体、保护对象和保护面积的，应加强保护措施，维护湿地生态系统。</w:t>
      </w:r>
    </w:p>
    <w:p>
      <w:pPr>
        <w:ind w:firstLine="640"/>
        <w:rPr>
          <w:rFonts w:ascii="楷体_GB2312" w:eastAsia="楷体_GB2312" w:cs="Times New Roman"/>
          <w:bCs/>
          <w:szCs w:val="32"/>
        </w:rPr>
      </w:pPr>
      <w:r>
        <w:rPr>
          <w:rFonts w:hint="eastAsia" w:ascii="楷体_GB2312" w:eastAsia="楷体_GB2312" w:cs="Times New Roman"/>
          <w:bCs/>
          <w:szCs w:val="32"/>
        </w:rPr>
        <w:t>6.2推进林地抚育提质</w:t>
      </w:r>
    </w:p>
    <w:p>
      <w:pPr>
        <w:ind w:firstLine="640"/>
        <w:rPr>
          <w:rFonts w:ascii="仿宋_GB2312" w:cs="Times New Roman"/>
          <w:szCs w:val="32"/>
        </w:rPr>
      </w:pPr>
      <w:r>
        <w:rPr>
          <w:rFonts w:hint="eastAsia" w:ascii="仿宋_GB2312" w:cs="Times New Roman"/>
          <w:szCs w:val="32"/>
        </w:rPr>
        <w:t>划入生态廊道范围内，人工种植的珍贵树种林，天然萌生的阔叶林，油茶、山核桃、香榧等木本油料林，以及培育目标为大径材的杉木林，视林分具体情况，进一步明确培育对象，改善林分生长条件，提高林分生长速度。具体可参照中幼林抚育、珍贵树种培育和大径材培育</w:t>
      </w:r>
      <w:r>
        <w:rPr>
          <w:rFonts w:hint="eastAsia" w:ascii="仿宋_GB2312" w:cs="Times New Roman"/>
          <w:szCs w:val="32"/>
        </w:rPr>
        <w:tab/>
      </w:r>
      <w:r>
        <w:rPr>
          <w:rFonts w:hint="eastAsia" w:ascii="仿宋_GB2312" w:cs="Times New Roman"/>
          <w:szCs w:val="32"/>
        </w:rPr>
        <w:t>、木本油料抚育建设指导意见相关内容。划入生态廊道范围内，受松材线虫病、松毛虫害等森林病虫害影响的林分，均应采取除治伐措施，严格作业标准。</w:t>
      </w:r>
    </w:p>
    <w:p>
      <w:pPr>
        <w:ind w:firstLine="640"/>
        <w:rPr>
          <w:rFonts w:ascii="楷体_GB2312" w:eastAsia="楷体_GB2312" w:cs="Times New Roman"/>
          <w:bCs/>
          <w:szCs w:val="32"/>
        </w:rPr>
      </w:pPr>
      <w:r>
        <w:rPr>
          <w:rFonts w:hint="eastAsia" w:ascii="楷体_GB2312" w:eastAsia="楷体_GB2312" w:cs="Times New Roman"/>
          <w:bCs/>
          <w:szCs w:val="32"/>
        </w:rPr>
        <w:t>6.3实施补植更新措施</w:t>
      </w:r>
    </w:p>
    <w:p>
      <w:pPr>
        <w:ind w:firstLine="640"/>
        <w:rPr>
          <w:rFonts w:ascii="仿宋_GB2312" w:cs="Times New Roman"/>
          <w:szCs w:val="32"/>
        </w:rPr>
      </w:pPr>
      <w:r>
        <w:rPr>
          <w:rFonts w:hint="eastAsia" w:ascii="仿宋_GB2312" w:cs="Times New Roman"/>
          <w:szCs w:val="32"/>
        </w:rPr>
        <w:t>划入生态廊道范围内的宜林地、采伐迹地、火烧迹地、规划造林地、疏林地，视现状条件，应采取不同措施补齐绿化空缺。划入生态廊道范围内，郁闭度≤0.4的乔木林分，有缺株断带的林带树带及农田林网，应采取补植措施，提高林分密度，优化树种结构，300亩以上连片农田林网其控制率达到90%。划入生态廊道范围内的茶园，可采取单株或小团状补植的方式，点缀景观树种，打造生态景观茶园。</w:t>
      </w:r>
    </w:p>
    <w:p>
      <w:pPr>
        <w:ind w:firstLine="640"/>
        <w:rPr>
          <w:rFonts w:ascii="楷体_GB2312" w:eastAsia="楷体_GB2312" w:cs="Times New Roman"/>
          <w:bCs/>
          <w:szCs w:val="32"/>
        </w:rPr>
      </w:pPr>
      <w:r>
        <w:rPr>
          <w:rFonts w:hint="eastAsia" w:ascii="楷体_GB2312" w:eastAsia="楷体_GB2312" w:cs="Times New Roman"/>
          <w:bCs/>
          <w:szCs w:val="32"/>
        </w:rPr>
        <w:t>6.4采取改造优化手段</w:t>
      </w:r>
    </w:p>
    <w:p>
      <w:pPr>
        <w:ind w:firstLine="640"/>
        <w:rPr>
          <w:rFonts w:ascii="仿宋_GB2312" w:cs="Times New Roman"/>
          <w:szCs w:val="32"/>
        </w:rPr>
      </w:pPr>
      <w:r>
        <w:rPr>
          <w:rFonts w:hint="eastAsia" w:ascii="仿宋_GB2312" w:cs="Times New Roman"/>
          <w:szCs w:val="32"/>
        </w:rPr>
        <w:t>划入生态廊道范围内，长势衰退的毛竹林，明显不具备培育前途的杉木林，郁闭度&gt;0.7的松树林，视林下阔叶树种更新情况，可采取措施改变培育对象，逐步改变森林面貌，提高生态景观功能。对具有改造潜力的它灌林，视土壤、海拔等具体情况，可开展绿化措施。林带树带的栽植树种未做到适地适树，树木生长明显不良的，可更替树种造林。划入生态廊道范围内的需修复的湿地，应提出科学的修复方案，具体参照湿地生态恢复建设指导意见相关内容。</w:t>
      </w:r>
    </w:p>
    <w:p>
      <w:pPr>
        <w:ind w:firstLine="640"/>
        <w:rPr>
          <w:rFonts w:ascii="黑体" w:hAnsi="黑体" w:eastAsia="黑体" w:cs="Times New Roman"/>
          <w:bCs/>
          <w:szCs w:val="32"/>
        </w:rPr>
      </w:pPr>
      <w:r>
        <w:rPr>
          <w:rFonts w:hint="eastAsia" w:ascii="黑体" w:hAnsi="黑体" w:eastAsia="黑体" w:cs="Times New Roman"/>
          <w:bCs/>
          <w:szCs w:val="32"/>
        </w:rPr>
        <w:t>7作业实施要求</w:t>
      </w:r>
    </w:p>
    <w:p>
      <w:pPr>
        <w:ind w:firstLine="640"/>
        <w:rPr>
          <w:rFonts w:ascii="仿宋_GB2312" w:cs="Times New Roman"/>
          <w:szCs w:val="32"/>
        </w:rPr>
      </w:pPr>
      <w:r>
        <w:rPr>
          <w:rFonts w:hint="eastAsia" w:ascii="仿宋_GB2312" w:cs="Times New Roman"/>
          <w:szCs w:val="32"/>
        </w:rPr>
        <w:t>（1）严格按照作业设计文件开展作业，对施工人员开展上岗培训，包括作业流程、建设方式等方面的技术要求。应实施监理制度，确保作业过程技术方法符合要求和施工作业运行规范。</w:t>
      </w:r>
    </w:p>
    <w:p>
      <w:pPr>
        <w:ind w:firstLine="640"/>
        <w:rPr>
          <w:rFonts w:ascii="仿宋_GB2312" w:cs="Times New Roman"/>
          <w:szCs w:val="32"/>
        </w:rPr>
      </w:pPr>
      <w:r>
        <w:rPr>
          <w:rFonts w:hint="eastAsia" w:ascii="仿宋_GB2312" w:cs="Times New Roman"/>
          <w:szCs w:val="32"/>
        </w:rPr>
        <w:t>（2）采伐中应保留有生态价值的活立木和枯立木，并正确控制树倒方向，减少对保留木和幼树幼苗的损伤。如作业区内有古树名木等，要注重对古树名木的保护。</w:t>
      </w:r>
    </w:p>
    <w:p>
      <w:pPr>
        <w:ind w:firstLine="640"/>
        <w:rPr>
          <w:rFonts w:ascii="仿宋_GB2312" w:cs="Times New Roman"/>
          <w:szCs w:val="32"/>
        </w:rPr>
      </w:pPr>
      <w:r>
        <w:rPr>
          <w:rFonts w:hint="eastAsia" w:ascii="仿宋_GB2312" w:cs="Times New Roman"/>
          <w:szCs w:val="32"/>
        </w:rPr>
        <w:t>（3）减少造林对水土流失的影响，采用集水、节水、保土、保墒、保肥等整地方式，山地不应采用全面整地、炼山等破坏已有植被和野生动物栖息地的整地方式。陡坡地段应限制清林，减少整地作业面积，避免土壤裸露。不宜在雨季整地，缩短整地与栽植间隔期。水土流失严重地区，应设置截水沟、植物篱、蓄水池、集水坡等水土保护设施。</w:t>
      </w:r>
    </w:p>
    <w:p>
      <w:pPr>
        <w:ind w:firstLine="640"/>
        <w:rPr>
          <w:rFonts w:ascii="仿宋_GB2312" w:cs="Times New Roman"/>
          <w:szCs w:val="32"/>
        </w:rPr>
      </w:pPr>
      <w:r>
        <w:rPr>
          <w:rFonts w:hint="eastAsia" w:ascii="仿宋_GB2312" w:cs="Times New Roman"/>
          <w:szCs w:val="32"/>
        </w:rPr>
        <w:t>（4）种植的树种宜选择乡土树种，提倡多样配置，不宜采用单一树种。对有引鸟功能需求的区域宜选择浆果类苗木树种。</w:t>
      </w:r>
    </w:p>
    <w:p>
      <w:pPr>
        <w:ind w:firstLine="640"/>
        <w:rPr>
          <w:rFonts w:ascii="仿宋_GB2312" w:cs="Times New Roman"/>
          <w:szCs w:val="32"/>
        </w:rPr>
      </w:pPr>
      <w:r>
        <w:rPr>
          <w:rFonts w:hint="eastAsia" w:ascii="仿宋_GB2312" w:cs="Times New Roman"/>
          <w:szCs w:val="32"/>
        </w:rPr>
        <w:t>（5）参照相关标准或规程，做好森林防火、病虫害防治、环境保护与作业人员安全工作。清除的带病虫源的林木、枝桠，应及时就近隔离处理，防止病虫源的扩散与传播。</w:t>
      </w:r>
    </w:p>
    <w:p>
      <w:pPr>
        <w:ind w:firstLine="640"/>
        <w:rPr>
          <w:rFonts w:ascii="仿宋_GB2312" w:cs="Times New Roman"/>
          <w:szCs w:val="32"/>
        </w:rPr>
      </w:pPr>
      <w:r>
        <w:rPr>
          <w:rFonts w:hint="eastAsia" w:ascii="仿宋_GB2312" w:cs="Times New Roman"/>
          <w:szCs w:val="32"/>
        </w:rPr>
        <w:t>（6）廊道建设范围内四级及以上等级公路、居住聚集区、工业区以及5米以上宽度河流等一些非植被基质，不纳入生态廊道面积计量范围内。</w:t>
      </w:r>
    </w:p>
    <w:p>
      <w:pPr>
        <w:ind w:firstLine="640"/>
        <w:rPr>
          <w:rFonts w:ascii="黑体" w:hAnsi="黑体" w:eastAsia="黑体" w:cs="Times New Roman"/>
          <w:bCs/>
          <w:szCs w:val="32"/>
        </w:rPr>
      </w:pPr>
      <w:r>
        <w:rPr>
          <w:rFonts w:hint="eastAsia" w:ascii="黑体" w:hAnsi="黑体" w:eastAsia="黑体" w:cs="Times New Roman"/>
          <w:bCs/>
          <w:szCs w:val="32"/>
        </w:rPr>
        <w:t>8生态廊道认定要求</w:t>
      </w:r>
    </w:p>
    <w:p>
      <w:pPr>
        <w:ind w:firstLine="640"/>
        <w:rPr>
          <w:rFonts w:ascii="仿宋_GB2312" w:cs="Times New Roman"/>
          <w:szCs w:val="32"/>
        </w:rPr>
      </w:pPr>
      <w:r>
        <w:rPr>
          <w:rFonts w:hint="eastAsia" w:ascii="仿宋_GB2312" w:cs="Times New Roman"/>
          <w:szCs w:val="32"/>
        </w:rPr>
        <w:t>生态廊道内各作业区实施完成后，采用百分制的方式对生态廊道进行认定。总分达80分为合格。详见生态主廊道认定评分表。</w:t>
      </w:r>
    </w:p>
    <w:p>
      <w:pPr>
        <w:ind w:firstLine="640"/>
        <w:rPr>
          <w:rFonts w:ascii="仿宋_GB2312" w:cs="Times New Roman"/>
          <w:szCs w:val="32"/>
        </w:rPr>
      </w:pPr>
      <w:r>
        <w:rPr>
          <w:rFonts w:hint="eastAsia" w:ascii="仿宋_GB2312" w:cs="Times New Roman"/>
          <w:szCs w:val="32"/>
        </w:rPr>
        <w:t>认定打分说明：</w:t>
      </w:r>
    </w:p>
    <w:p>
      <w:pPr>
        <w:ind w:firstLine="640"/>
        <w:rPr>
          <w:rFonts w:ascii="仿宋_GB2312" w:cs="Times New Roman"/>
          <w:szCs w:val="32"/>
        </w:rPr>
      </w:pPr>
      <w:r>
        <w:rPr>
          <w:rFonts w:hint="eastAsia" w:ascii="仿宋_GB2312" w:cs="Times New Roman"/>
          <w:szCs w:val="32"/>
        </w:rPr>
        <w:t>（1）认定指标分为共性指标、生物多样性指标、生态防护指标和景观休闲指标四大类。其中，共性指标为必选项，并在其他三类指标中，选一类指标作为该段生态廊道的主项指标，剩余两类指标为分项指标。</w:t>
      </w:r>
    </w:p>
    <w:p>
      <w:pPr>
        <w:ind w:firstLine="640"/>
        <w:rPr>
          <w:rFonts w:ascii="仿宋_GB2312" w:cs="Times New Roman"/>
          <w:szCs w:val="32"/>
        </w:rPr>
      </w:pPr>
      <w:r>
        <w:rPr>
          <w:rFonts w:hint="eastAsia" w:ascii="仿宋_GB2312" w:cs="Times New Roman"/>
          <w:szCs w:val="32"/>
        </w:rPr>
        <w:t>（2）共性指标、主项指标各占40分，分项指标20分，指标总分100分。其中，共性指标和主项指标需全部打分，分项指标可任意选2个认定项目进行打分。</w:t>
      </w:r>
    </w:p>
    <w:p>
      <w:pPr>
        <w:ind w:firstLine="640"/>
        <w:rPr>
          <w:rFonts w:cs="Times New Roman"/>
          <w:szCs w:val="32"/>
        </w:rPr>
      </w:pPr>
    </w:p>
    <w:p>
      <w:pPr>
        <w:ind w:firstLine="640"/>
        <w:rPr>
          <w:rFonts w:cs="Times New Roman"/>
          <w:szCs w:val="32"/>
        </w:rPr>
        <w:sectPr>
          <w:pgSz w:w="11906" w:h="16838"/>
          <w:pgMar w:top="1928" w:right="1304" w:bottom="1531" w:left="1531" w:header="851" w:footer="1474" w:gutter="0"/>
          <w:cols w:space="425" w:num="1"/>
          <w:docGrid w:type="lines" w:linePitch="312" w:charSpace="0"/>
        </w:sectPr>
      </w:pPr>
    </w:p>
    <w:p>
      <w:pPr>
        <w:spacing w:after="217" w:afterLines="50" w:line="640" w:lineRule="exact"/>
        <w:ind w:firstLine="0" w:firstLineChars="0"/>
        <w:jc w:val="center"/>
        <w:rPr>
          <w:rFonts w:ascii="方正小标宋简体" w:eastAsia="方正小标宋简体" w:cs="Times New Roman"/>
          <w:sz w:val="36"/>
          <w:szCs w:val="36"/>
        </w:rPr>
      </w:pPr>
      <w:r>
        <w:rPr>
          <w:rFonts w:hint="eastAsia" w:ascii="方正小标宋简体" w:eastAsia="方正小标宋简体" w:cs="Times New Roman"/>
          <w:sz w:val="36"/>
          <w:szCs w:val="36"/>
        </w:rPr>
        <w:t>生态廊道认定评分表</w:t>
      </w:r>
    </w:p>
    <w:tbl>
      <w:tblPr>
        <w:tblStyle w:val="13"/>
        <w:tblW w:w="14884" w:type="dxa"/>
        <w:tblInd w:w="-5" w:type="dxa"/>
        <w:tblLayout w:type="fixed"/>
        <w:tblCellMar>
          <w:top w:w="0" w:type="dxa"/>
          <w:left w:w="0" w:type="dxa"/>
          <w:bottom w:w="0" w:type="dxa"/>
          <w:right w:w="0" w:type="dxa"/>
        </w:tblCellMar>
      </w:tblPr>
      <w:tblGrid>
        <w:gridCol w:w="709"/>
        <w:gridCol w:w="1701"/>
        <w:gridCol w:w="9923"/>
        <w:gridCol w:w="850"/>
        <w:gridCol w:w="851"/>
        <w:gridCol w:w="850"/>
      </w:tblGrid>
      <w:tr>
        <w:tblPrEx>
          <w:tblCellMar>
            <w:top w:w="0" w:type="dxa"/>
            <w:left w:w="0" w:type="dxa"/>
            <w:bottom w:w="0" w:type="dxa"/>
            <w:right w:w="0" w:type="dxa"/>
          </w:tblCellMar>
        </w:tblPrEx>
        <w:trPr>
          <w:trHeight w:val="340"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b/>
                <w:color w:val="000000"/>
                <w:kern w:val="0"/>
                <w:sz w:val="24"/>
                <w:szCs w:val="24"/>
              </w:rPr>
            </w:pPr>
            <w:r>
              <w:rPr>
                <w:rFonts w:hint="eastAsia" w:cs="Times New Roman"/>
                <w:b/>
                <w:color w:val="000000"/>
                <w:kern w:val="0"/>
                <w:sz w:val="24"/>
                <w:szCs w:val="24"/>
              </w:rPr>
              <w:t>认定指标</w:t>
            </w:r>
          </w:p>
        </w:tc>
        <w:tc>
          <w:tcPr>
            <w:tcW w:w="170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b/>
                <w:color w:val="000000"/>
                <w:kern w:val="0"/>
                <w:sz w:val="24"/>
                <w:szCs w:val="24"/>
              </w:rPr>
            </w:pPr>
            <w:r>
              <w:rPr>
                <w:rFonts w:hint="eastAsia" w:cs="Times New Roman"/>
                <w:b/>
                <w:color w:val="000000"/>
                <w:kern w:val="0"/>
                <w:sz w:val="24"/>
                <w:szCs w:val="24"/>
              </w:rPr>
              <w:t>认定项目</w:t>
            </w:r>
          </w:p>
        </w:tc>
        <w:tc>
          <w:tcPr>
            <w:tcW w:w="992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b/>
                <w:color w:val="000000"/>
                <w:kern w:val="0"/>
                <w:sz w:val="24"/>
                <w:szCs w:val="24"/>
              </w:rPr>
            </w:pPr>
            <w:r>
              <w:rPr>
                <w:rFonts w:hint="eastAsia" w:cs="Times New Roman"/>
                <w:b/>
                <w:color w:val="000000"/>
                <w:kern w:val="0"/>
                <w:sz w:val="24"/>
                <w:szCs w:val="24"/>
              </w:rPr>
              <w:t>认定说明</w:t>
            </w:r>
          </w:p>
        </w:tc>
        <w:tc>
          <w:tcPr>
            <w:tcW w:w="170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b/>
                <w:color w:val="000000"/>
                <w:kern w:val="0"/>
                <w:sz w:val="24"/>
                <w:szCs w:val="24"/>
              </w:rPr>
            </w:pPr>
            <w:r>
              <w:rPr>
                <w:rFonts w:hint="eastAsia" w:cs="Times New Roman"/>
                <w:b/>
                <w:color w:val="000000"/>
                <w:kern w:val="0"/>
                <w:sz w:val="24"/>
                <w:szCs w:val="24"/>
              </w:rPr>
              <w:t>打分要求</w:t>
            </w:r>
          </w:p>
        </w:tc>
        <w:tc>
          <w:tcPr>
            <w:tcW w:w="850" w:type="dxa"/>
            <w:vMerge w:val="restart"/>
            <w:tcBorders>
              <w:top w:val="single" w:color="auto" w:sz="4" w:space="0"/>
              <w:left w:val="nil"/>
              <w:right w:val="single" w:color="auto" w:sz="4" w:space="0"/>
            </w:tcBorders>
            <w:vAlign w:val="center"/>
          </w:tcPr>
          <w:p>
            <w:pPr>
              <w:widowControl/>
              <w:adjustRightInd w:val="0"/>
              <w:snapToGrid w:val="0"/>
              <w:spacing w:line="240" w:lineRule="exact"/>
              <w:ind w:firstLine="0" w:firstLineChars="0"/>
              <w:jc w:val="center"/>
              <w:rPr>
                <w:rFonts w:cs="Times New Roman"/>
                <w:b/>
                <w:color w:val="000000"/>
                <w:kern w:val="0"/>
                <w:sz w:val="24"/>
                <w:szCs w:val="24"/>
              </w:rPr>
            </w:pPr>
            <w:r>
              <w:rPr>
                <w:rFonts w:hint="eastAsia" w:cs="Times New Roman"/>
                <w:b/>
                <w:color w:val="000000"/>
                <w:kern w:val="0"/>
                <w:sz w:val="24"/>
                <w:szCs w:val="24"/>
              </w:rPr>
              <w:t>说明</w:t>
            </w:r>
          </w:p>
        </w:tc>
      </w:tr>
      <w:tr>
        <w:tblPrEx>
          <w:tblCellMar>
            <w:top w:w="0" w:type="dxa"/>
            <w:left w:w="0" w:type="dxa"/>
            <w:bottom w:w="0" w:type="dxa"/>
            <w:right w:w="0" w:type="dxa"/>
          </w:tblCellMar>
        </w:tblPrEx>
        <w:trPr>
          <w:trHeight w:val="34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b/>
                <w:color w:val="000000"/>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b/>
                <w:color w:val="000000"/>
                <w:kern w:val="0"/>
                <w:sz w:val="24"/>
                <w:szCs w:val="24"/>
              </w:rPr>
            </w:pPr>
          </w:p>
        </w:tc>
        <w:tc>
          <w:tcPr>
            <w:tcW w:w="9923"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b/>
                <w:color w:val="000000"/>
                <w:kern w:val="0"/>
                <w:sz w:val="24"/>
                <w:szCs w:val="24"/>
              </w:rPr>
            </w:pPr>
          </w:p>
        </w:tc>
        <w:tc>
          <w:tcPr>
            <w:tcW w:w="850"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jc w:val="center"/>
              <w:rPr>
                <w:rFonts w:cs="Times New Roman"/>
                <w:b/>
                <w:color w:val="000000"/>
                <w:kern w:val="0"/>
                <w:sz w:val="24"/>
                <w:szCs w:val="24"/>
              </w:rPr>
            </w:pPr>
            <w:r>
              <w:rPr>
                <w:rFonts w:hint="eastAsia" w:cs="Times New Roman"/>
                <w:b/>
                <w:color w:val="000000"/>
                <w:kern w:val="0"/>
                <w:sz w:val="24"/>
                <w:szCs w:val="24"/>
              </w:rPr>
              <w:t>作为主项分值</w:t>
            </w:r>
          </w:p>
        </w:tc>
        <w:tc>
          <w:tcPr>
            <w:tcW w:w="851"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jc w:val="center"/>
              <w:rPr>
                <w:rFonts w:cs="Times New Roman"/>
                <w:b/>
                <w:color w:val="000000"/>
                <w:kern w:val="0"/>
                <w:sz w:val="24"/>
                <w:szCs w:val="24"/>
              </w:rPr>
            </w:pPr>
            <w:r>
              <w:rPr>
                <w:rFonts w:hint="eastAsia" w:cs="Times New Roman"/>
                <w:b/>
                <w:color w:val="000000"/>
                <w:kern w:val="0"/>
                <w:sz w:val="24"/>
                <w:szCs w:val="24"/>
              </w:rPr>
              <w:t>作为分项分值</w:t>
            </w:r>
          </w:p>
        </w:tc>
        <w:tc>
          <w:tcPr>
            <w:tcW w:w="850" w:type="dxa"/>
            <w:vMerge w:val="continue"/>
            <w:tcBorders>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b/>
                <w:color w:val="000000"/>
                <w:kern w:val="0"/>
                <w:sz w:val="24"/>
                <w:szCs w:val="24"/>
              </w:rPr>
            </w:pPr>
          </w:p>
        </w:tc>
      </w:tr>
      <w:tr>
        <w:tblPrEx>
          <w:tblCellMar>
            <w:top w:w="0" w:type="dxa"/>
            <w:left w:w="0" w:type="dxa"/>
            <w:bottom w:w="0" w:type="dxa"/>
            <w:right w:w="0" w:type="dxa"/>
          </w:tblCellMar>
        </w:tblPrEx>
        <w:trPr>
          <w:trHeight w:val="283" w:hRule="atLeast"/>
        </w:trPr>
        <w:tc>
          <w:tcPr>
            <w:tcW w:w="709"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共性</w:t>
            </w:r>
          </w:p>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指标</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连通性</w:t>
            </w:r>
          </w:p>
        </w:tc>
        <w:tc>
          <w:tcPr>
            <w:tcW w:w="9923"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廊道内</w:t>
            </w:r>
            <w:r>
              <w:rPr>
                <w:rFonts w:hint="eastAsia" w:cs="Times New Roman"/>
                <w:color w:val="000000"/>
                <w:kern w:val="0"/>
                <w:sz w:val="24"/>
                <w:szCs w:val="24"/>
              </w:rPr>
              <w:t>宜林地、采伐迹地、火烧迹地、规划造林地、疏林地应全部绿化，灌木林地应绿尽绿，区域内</w:t>
            </w:r>
            <w:r>
              <w:rPr>
                <w:rFonts w:hint="eastAsia" w:cs="Times New Roman"/>
                <w:color w:val="000000"/>
                <w:kern w:val="0"/>
                <w:sz w:val="21"/>
                <w:szCs w:val="21"/>
              </w:rPr>
              <w:t>绿化无明显缺株断带。</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vMerge w:val="restart"/>
            <w:tcBorders>
              <w:top w:val="nil"/>
              <w:left w:val="nil"/>
              <w:right w:val="single" w:color="auto" w:sz="4" w:space="0"/>
            </w:tcBorders>
          </w:tcPr>
          <w:p>
            <w:pPr>
              <w:widowControl/>
              <w:adjustRightInd w:val="0"/>
              <w:snapToGrid w:val="0"/>
              <w:spacing w:line="240" w:lineRule="exact"/>
              <w:ind w:firstLine="0" w:firstLineChars="0"/>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kern w:val="0"/>
                <w:sz w:val="21"/>
                <w:szCs w:val="21"/>
                <w:highlight w:val="yellow"/>
              </w:rPr>
            </w:pPr>
            <w:r>
              <w:rPr>
                <w:rFonts w:hint="eastAsia" w:cs="Times New Roman"/>
                <w:kern w:val="0"/>
                <w:sz w:val="21"/>
                <w:szCs w:val="21"/>
              </w:rPr>
              <w:t>面积</w:t>
            </w:r>
            <w:r>
              <w:rPr>
                <w:rFonts w:cs="Times New Roman"/>
                <w:kern w:val="0"/>
                <w:sz w:val="21"/>
                <w:szCs w:val="21"/>
              </w:rPr>
              <w:t>/</w:t>
            </w:r>
            <w:r>
              <w:rPr>
                <w:rFonts w:hint="eastAsia" w:cs="Times New Roman"/>
                <w:kern w:val="0"/>
                <w:sz w:val="21"/>
                <w:szCs w:val="21"/>
              </w:rPr>
              <w:t>长度</w:t>
            </w:r>
          </w:p>
        </w:tc>
        <w:tc>
          <w:tcPr>
            <w:tcW w:w="9923"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rPr>
                <w:rFonts w:cs="Times New Roman"/>
                <w:kern w:val="0"/>
                <w:sz w:val="21"/>
                <w:szCs w:val="21"/>
                <w:highlight w:val="yellow"/>
              </w:rPr>
            </w:pPr>
            <w:r>
              <w:rPr>
                <w:rFonts w:hint="eastAsia" w:cs="Times New Roman"/>
                <w:kern w:val="0"/>
                <w:sz w:val="21"/>
                <w:szCs w:val="21"/>
              </w:rPr>
              <w:t>廊道单段建设总长度不&lt;</w:t>
            </w:r>
            <w:r>
              <w:rPr>
                <w:rFonts w:cs="Times New Roman"/>
                <w:kern w:val="0"/>
                <w:sz w:val="21"/>
                <w:szCs w:val="21"/>
              </w:rPr>
              <w:t>5</w:t>
            </w:r>
            <w:r>
              <w:rPr>
                <w:rFonts w:hint="eastAsia" w:cs="Times New Roman"/>
                <w:kern w:val="0"/>
                <w:sz w:val="21"/>
                <w:szCs w:val="21"/>
              </w:rPr>
              <w:t>公里，断带长度不超过该条廊道平均宽度的</w:t>
            </w:r>
            <w:r>
              <w:rPr>
                <w:rFonts w:cs="Times New Roman"/>
                <w:kern w:val="0"/>
                <w:sz w:val="21"/>
                <w:szCs w:val="21"/>
              </w:rPr>
              <w:t>10</w:t>
            </w:r>
            <w:r>
              <w:rPr>
                <w:rFonts w:hint="eastAsia" w:cs="Times New Roman"/>
                <w:kern w:val="0"/>
                <w:sz w:val="21"/>
                <w:szCs w:val="21"/>
              </w:rPr>
              <w:t>倍</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kern w:val="0"/>
                <w:sz w:val="21"/>
                <w:szCs w:val="21"/>
              </w:rPr>
            </w:pPr>
          </w:p>
        </w:tc>
        <w:tc>
          <w:tcPr>
            <w:tcW w:w="850" w:type="dxa"/>
            <w:vMerge w:val="continue"/>
            <w:tcBorders>
              <w:left w:val="nil"/>
              <w:right w:val="single" w:color="auto" w:sz="4" w:space="0"/>
            </w:tcBorders>
          </w:tcPr>
          <w:p>
            <w:pPr>
              <w:widowControl/>
              <w:adjustRightInd w:val="0"/>
              <w:snapToGrid w:val="0"/>
              <w:spacing w:line="240" w:lineRule="exact"/>
              <w:ind w:firstLine="0" w:firstLineChars="0"/>
              <w:jc w:val="center"/>
              <w:rPr>
                <w:rFonts w:cs="Times New Roman"/>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森林灾害防控</w:t>
            </w:r>
          </w:p>
        </w:tc>
        <w:tc>
          <w:tcPr>
            <w:tcW w:w="9923"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廊道内松材线虫病除治全面完成，无森林火灾发生</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vMerge w:val="continue"/>
            <w:tcBorders>
              <w:left w:val="nil"/>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作业实施面积</w:t>
            </w:r>
          </w:p>
        </w:tc>
        <w:tc>
          <w:tcPr>
            <w:tcW w:w="9923"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作业实施面积应占廊道总面积</w:t>
            </w:r>
            <w:r>
              <w:rPr>
                <w:rFonts w:cs="Times New Roman"/>
                <w:color w:val="000000"/>
                <w:kern w:val="0"/>
                <w:sz w:val="21"/>
                <w:szCs w:val="21"/>
              </w:rPr>
              <w:t>30%</w:t>
            </w:r>
            <w:r>
              <w:rPr>
                <w:rFonts w:hint="eastAsia" w:cs="Times New Roman"/>
                <w:color w:val="000000"/>
                <w:kern w:val="0"/>
                <w:sz w:val="21"/>
                <w:szCs w:val="21"/>
              </w:rPr>
              <w:t>以上，其中实施措施不包括封育管护、湿地保护措施的面积</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vMerge w:val="continue"/>
            <w:tcBorders>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特色节点</w:t>
            </w:r>
          </w:p>
        </w:tc>
        <w:tc>
          <w:tcPr>
            <w:tcW w:w="9923"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全县廊道内有两处以上特色亮点实施区域</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vMerge w:val="continue"/>
            <w:tcBorders>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restart"/>
            <w:tcBorders>
              <w:top w:val="nil"/>
              <w:left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生物</w:t>
            </w:r>
          </w:p>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多样性</w:t>
            </w:r>
          </w:p>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指标</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自然保护地</w:t>
            </w:r>
          </w:p>
        </w:tc>
        <w:tc>
          <w:tcPr>
            <w:tcW w:w="9923"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廊道内涉及的自然保护地机构完善，保护地间实现互联互通</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tcBorders>
              <w:top w:val="nil"/>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left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湿地保护</w:t>
            </w:r>
          </w:p>
        </w:tc>
        <w:tc>
          <w:tcPr>
            <w:tcW w:w="9923"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rPr>
                <w:rFonts w:cs="Times New Roman"/>
                <w:kern w:val="0"/>
                <w:sz w:val="21"/>
                <w:szCs w:val="21"/>
              </w:rPr>
            </w:pPr>
            <w:r>
              <w:rPr>
                <w:rFonts w:hint="eastAsia" w:cs="Times New Roman"/>
                <w:color w:val="000000"/>
                <w:kern w:val="0"/>
                <w:sz w:val="21"/>
                <w:szCs w:val="21"/>
              </w:rPr>
              <w:t>廊道内</w:t>
            </w:r>
            <w:r>
              <w:rPr>
                <w:rFonts w:hint="eastAsia" w:cs="Times New Roman"/>
                <w:kern w:val="0"/>
                <w:sz w:val="21"/>
                <w:szCs w:val="21"/>
              </w:rPr>
              <w:t>湿地保护管理责任主体明确、保护范围与面积明确、保护方式明确</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tcBorders>
              <w:top w:val="nil"/>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left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湿地修复</w:t>
            </w:r>
          </w:p>
        </w:tc>
        <w:tc>
          <w:tcPr>
            <w:tcW w:w="9923"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rPr>
                <w:rFonts w:cs="Times New Roman"/>
                <w:kern w:val="0"/>
                <w:sz w:val="21"/>
                <w:szCs w:val="21"/>
              </w:rPr>
            </w:pPr>
            <w:r>
              <w:rPr>
                <w:rFonts w:hint="eastAsia" w:cs="Times New Roman"/>
                <w:color w:val="000000"/>
                <w:kern w:val="0"/>
                <w:sz w:val="21"/>
                <w:szCs w:val="21"/>
              </w:rPr>
              <w:t>廊道内</w:t>
            </w:r>
            <w:r>
              <w:rPr>
                <w:rFonts w:hint="eastAsia" w:cs="Times New Roman"/>
                <w:kern w:val="0"/>
                <w:sz w:val="21"/>
                <w:szCs w:val="21"/>
              </w:rPr>
              <w:t>有相应的湿地修复方案、修复工程措施等书面材料；湿地水质较之前提升</w:t>
            </w:r>
            <w:r>
              <w:rPr>
                <w:rFonts w:cs="Times New Roman"/>
                <w:kern w:val="0"/>
                <w:sz w:val="21"/>
                <w:szCs w:val="21"/>
              </w:rPr>
              <w:t>1</w:t>
            </w:r>
            <w:r>
              <w:rPr>
                <w:rFonts w:hint="eastAsia" w:cs="Times New Roman"/>
                <w:kern w:val="0"/>
                <w:sz w:val="21"/>
                <w:szCs w:val="21"/>
              </w:rPr>
              <w:t>个等次以上、湿地植被面积较上一年增加（图文对比），对湿地外来入侵有害生物开展了有效清理工作（有相应的材料记录、前后效果比对）</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tcBorders>
              <w:top w:val="nil"/>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left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野生动物生境修复</w:t>
            </w:r>
          </w:p>
        </w:tc>
        <w:tc>
          <w:tcPr>
            <w:tcW w:w="9923"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廊道内的森林、湿地等生态斑块通过廊道实现有效连接，廊道内应有一定数量的引鸟设施，保护和选用留鸟引鸟、食源蜜源等植物</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tcBorders>
              <w:top w:val="nil"/>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left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树种多样性</w:t>
            </w:r>
          </w:p>
        </w:tc>
        <w:tc>
          <w:tcPr>
            <w:tcW w:w="9923"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选择乡土树种，乡土树种比例</w:t>
            </w:r>
            <w:r>
              <w:rPr>
                <w:rFonts w:hint="eastAsia" w:ascii="仿宋_GB2312" w:cs="Times New Roman"/>
                <w:color w:val="000000"/>
                <w:kern w:val="0"/>
                <w:sz w:val="21"/>
                <w:szCs w:val="21"/>
              </w:rPr>
              <w:t>≥</w:t>
            </w:r>
            <w:r>
              <w:rPr>
                <w:rFonts w:cs="Times New Roman"/>
                <w:color w:val="000000"/>
                <w:kern w:val="0"/>
                <w:sz w:val="21"/>
                <w:szCs w:val="21"/>
              </w:rPr>
              <w:t>70%</w:t>
            </w:r>
            <w:r>
              <w:rPr>
                <w:rFonts w:hint="eastAsia" w:cs="Times New Roman"/>
                <w:color w:val="000000"/>
                <w:kern w:val="0"/>
                <w:sz w:val="21"/>
                <w:szCs w:val="21"/>
              </w:rPr>
              <w:t>，单段廊道内造林树种</w:t>
            </w:r>
            <w:r>
              <w:rPr>
                <w:rFonts w:hint="eastAsia" w:ascii="仿宋_GB2312" w:cs="Times New Roman"/>
                <w:color w:val="000000"/>
                <w:kern w:val="0"/>
                <w:sz w:val="21"/>
                <w:szCs w:val="21"/>
              </w:rPr>
              <w:t>≥</w:t>
            </w:r>
            <w:r>
              <w:rPr>
                <w:rFonts w:cs="Times New Roman"/>
                <w:color w:val="000000"/>
                <w:kern w:val="0"/>
                <w:sz w:val="21"/>
                <w:szCs w:val="21"/>
              </w:rPr>
              <w:t>10</w:t>
            </w:r>
            <w:r>
              <w:rPr>
                <w:rFonts w:hint="eastAsia" w:cs="Times New Roman"/>
                <w:color w:val="000000"/>
                <w:kern w:val="0"/>
                <w:sz w:val="21"/>
                <w:szCs w:val="21"/>
              </w:rPr>
              <w:t>种</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tcBorders>
              <w:top w:val="nil"/>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红树林保护修复</w:t>
            </w:r>
          </w:p>
        </w:tc>
        <w:tc>
          <w:tcPr>
            <w:tcW w:w="9923"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在廊道内红树林适宜发展区域，积极发展红树林，红树林保护修复成效显著</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tcBorders>
              <w:top w:val="nil"/>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生态防护指标</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山体绿化</w:t>
            </w:r>
          </w:p>
        </w:tc>
        <w:tc>
          <w:tcPr>
            <w:tcW w:w="9923"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廊道内林地空间应绿尽绿，阔叶林或针阔混交林结构进一步优化，廊道内茶园、果园中有生态树种</w:t>
            </w:r>
          </w:p>
        </w:tc>
        <w:tc>
          <w:tcPr>
            <w:tcW w:w="850" w:type="dxa"/>
            <w:vMerge w:val="restart"/>
            <w:tcBorders>
              <w:top w:val="nil"/>
              <w:left w:val="nil"/>
              <w:right w:val="single" w:color="auto" w:sz="4" w:space="0"/>
            </w:tcBorders>
            <w:shd w:val="clear" w:color="auto" w:fill="auto"/>
            <w:noWrap/>
            <w:vAlign w:val="center"/>
          </w:tcPr>
          <w:p>
            <w:pPr>
              <w:adjustRightInd w:val="0"/>
              <w:snapToGrid w:val="0"/>
              <w:spacing w:line="240" w:lineRule="exact"/>
              <w:ind w:firstLine="174" w:firstLineChars="83"/>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vMerge w:val="restart"/>
            <w:tcBorders>
              <w:top w:val="nil"/>
              <w:left w:val="nil"/>
              <w:right w:val="single" w:color="auto" w:sz="4" w:space="0"/>
            </w:tcBorders>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根据不同生态廊道类型，选择相应认定项目打分</w:t>
            </w:r>
          </w:p>
        </w:tc>
      </w:tr>
      <w:tr>
        <w:tblPrEx>
          <w:tblCellMar>
            <w:top w:w="0" w:type="dxa"/>
            <w:left w:w="0" w:type="dxa"/>
            <w:bottom w:w="0" w:type="dxa"/>
            <w:right w:w="0" w:type="dxa"/>
          </w:tblCellMar>
        </w:tblPrEx>
        <w:trPr>
          <w:trHeight w:val="283"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水岸绿化</w:t>
            </w:r>
          </w:p>
        </w:tc>
        <w:tc>
          <w:tcPr>
            <w:tcW w:w="9923"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rPr>
                <w:rFonts w:cs="Times New Roman"/>
                <w:kern w:val="0"/>
                <w:sz w:val="21"/>
                <w:szCs w:val="21"/>
              </w:rPr>
            </w:pPr>
            <w:r>
              <w:rPr>
                <w:rFonts w:hint="eastAsia" w:cs="Times New Roman"/>
                <w:kern w:val="0"/>
                <w:sz w:val="21"/>
                <w:szCs w:val="21"/>
              </w:rPr>
              <w:t>廊道内水岸两侧护岸、护堤林应绿尽绿</w:t>
            </w:r>
          </w:p>
        </w:tc>
        <w:tc>
          <w:tcPr>
            <w:tcW w:w="850" w:type="dxa"/>
            <w:vMerge w:val="continue"/>
            <w:tcBorders>
              <w:left w:val="nil"/>
              <w:right w:val="single" w:color="auto" w:sz="4" w:space="0"/>
            </w:tcBorders>
            <w:shd w:val="clear" w:color="auto" w:fill="auto"/>
            <w:noWrap/>
            <w:vAlign w:val="center"/>
          </w:tcPr>
          <w:p>
            <w:pPr>
              <w:adjustRightInd w:val="0"/>
              <w:snapToGrid w:val="0"/>
              <w:spacing w:line="240" w:lineRule="exact"/>
              <w:ind w:firstLine="420"/>
              <w:jc w:val="center"/>
              <w:rPr>
                <w:rFonts w:cs="Times New Roman"/>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vMerge w:val="continue"/>
            <w:tcBorders>
              <w:left w:val="nil"/>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农田林网</w:t>
            </w:r>
          </w:p>
        </w:tc>
        <w:tc>
          <w:tcPr>
            <w:tcW w:w="9923"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廊道内</w:t>
            </w:r>
            <w:r>
              <w:rPr>
                <w:rFonts w:cs="Times New Roman"/>
                <w:color w:val="000000"/>
                <w:kern w:val="0"/>
                <w:sz w:val="21"/>
                <w:szCs w:val="21"/>
              </w:rPr>
              <w:t>300</w:t>
            </w:r>
            <w:r>
              <w:rPr>
                <w:rFonts w:hint="eastAsia" w:cs="Times New Roman"/>
                <w:color w:val="000000"/>
                <w:kern w:val="0"/>
                <w:sz w:val="21"/>
                <w:szCs w:val="21"/>
              </w:rPr>
              <w:t>亩以上的连片农田的农田林网控制率达到</w:t>
            </w:r>
            <w:r>
              <w:rPr>
                <w:rFonts w:cs="Times New Roman"/>
                <w:color w:val="000000"/>
                <w:kern w:val="0"/>
                <w:sz w:val="21"/>
                <w:szCs w:val="21"/>
              </w:rPr>
              <w:t>90%</w:t>
            </w:r>
          </w:p>
        </w:tc>
        <w:tc>
          <w:tcPr>
            <w:tcW w:w="850" w:type="dxa"/>
            <w:vMerge w:val="continue"/>
            <w:tcBorders>
              <w:left w:val="nil"/>
              <w:right w:val="single" w:color="auto" w:sz="4" w:space="0"/>
            </w:tcBorders>
            <w:shd w:val="clear" w:color="auto" w:fill="auto"/>
            <w:noWrap/>
            <w:vAlign w:val="center"/>
          </w:tcPr>
          <w:p>
            <w:pPr>
              <w:adjustRightInd w:val="0"/>
              <w:snapToGrid w:val="0"/>
              <w:spacing w:line="240" w:lineRule="exact"/>
              <w:ind w:firstLine="42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vMerge w:val="continue"/>
            <w:tcBorders>
              <w:left w:val="nil"/>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重要水源地绿化</w:t>
            </w:r>
          </w:p>
        </w:tc>
        <w:tc>
          <w:tcPr>
            <w:tcW w:w="9923"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廊道内重要水源地森林植被保护完好，水质净化和水源涵养作用得到有效发挥</w:t>
            </w:r>
          </w:p>
        </w:tc>
        <w:tc>
          <w:tcPr>
            <w:tcW w:w="850" w:type="dxa"/>
            <w:vMerge w:val="continue"/>
            <w:tcBorders>
              <w:left w:val="nil"/>
              <w:right w:val="single" w:color="auto" w:sz="4" w:space="0"/>
            </w:tcBorders>
            <w:shd w:val="clear" w:color="auto" w:fill="auto"/>
            <w:noWrap/>
            <w:vAlign w:val="center"/>
          </w:tcPr>
          <w:p>
            <w:pPr>
              <w:adjustRightInd w:val="0"/>
              <w:snapToGrid w:val="0"/>
              <w:spacing w:line="240" w:lineRule="exact"/>
              <w:ind w:firstLine="42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vMerge w:val="continue"/>
            <w:tcBorders>
              <w:left w:val="nil"/>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海岸带绿化</w:t>
            </w:r>
          </w:p>
        </w:tc>
        <w:tc>
          <w:tcPr>
            <w:tcW w:w="9923"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rPr>
                <w:rFonts w:cs="Times New Roman"/>
                <w:kern w:val="0"/>
                <w:sz w:val="21"/>
                <w:szCs w:val="21"/>
              </w:rPr>
            </w:pPr>
            <w:r>
              <w:rPr>
                <w:rFonts w:hint="eastAsia" w:cs="Times New Roman"/>
                <w:kern w:val="0"/>
                <w:sz w:val="21"/>
                <w:szCs w:val="21"/>
              </w:rPr>
              <w:t>廊道内海岸基干林带无明显断带</w:t>
            </w:r>
          </w:p>
        </w:tc>
        <w:tc>
          <w:tcPr>
            <w:tcW w:w="850" w:type="dxa"/>
            <w:vMerge w:val="continue"/>
            <w:tcBorders>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vMerge w:val="continue"/>
            <w:tcBorders>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景观休闲指标</w:t>
            </w:r>
          </w:p>
        </w:tc>
        <w:tc>
          <w:tcPr>
            <w:tcW w:w="1701"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美丽景观</w:t>
            </w:r>
          </w:p>
        </w:tc>
        <w:tc>
          <w:tcPr>
            <w:tcW w:w="9923"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廊道内重要区域林缘地带景观树种（观叶或观花或观果）比例达到</w:t>
            </w:r>
            <w:r>
              <w:rPr>
                <w:rFonts w:cs="Times New Roman"/>
                <w:color w:val="000000"/>
                <w:kern w:val="0"/>
                <w:sz w:val="21"/>
                <w:szCs w:val="21"/>
              </w:rPr>
              <w:t>40%</w:t>
            </w:r>
            <w:r>
              <w:rPr>
                <w:rFonts w:hint="eastAsia" w:cs="Times New Roman"/>
                <w:color w:val="000000"/>
                <w:kern w:val="0"/>
                <w:sz w:val="21"/>
                <w:szCs w:val="21"/>
              </w:rPr>
              <w:t>以上，林缘</w:t>
            </w:r>
            <w:r>
              <w:rPr>
                <w:rFonts w:cs="Times New Roman"/>
                <w:color w:val="000000"/>
                <w:kern w:val="0"/>
                <w:sz w:val="21"/>
                <w:szCs w:val="21"/>
              </w:rPr>
              <w:t>30</w:t>
            </w:r>
            <w:r>
              <w:rPr>
                <w:rFonts w:hint="eastAsia" w:cs="Times New Roman"/>
                <w:color w:val="000000"/>
                <w:kern w:val="0"/>
                <w:sz w:val="21"/>
                <w:szCs w:val="21"/>
              </w:rPr>
              <w:t>米内芒秆、蕨类等易燃物清除率达到</w:t>
            </w:r>
            <w:r>
              <w:rPr>
                <w:rFonts w:cs="Times New Roman"/>
                <w:color w:val="000000"/>
                <w:kern w:val="0"/>
                <w:sz w:val="21"/>
                <w:szCs w:val="21"/>
              </w:rPr>
              <w:t>60%</w:t>
            </w:r>
            <w:r>
              <w:rPr>
                <w:rFonts w:hint="eastAsia" w:cs="Times New Roman"/>
                <w:color w:val="000000"/>
                <w:kern w:val="0"/>
                <w:sz w:val="21"/>
                <w:szCs w:val="21"/>
              </w:rPr>
              <w:t>以上，每</w:t>
            </w:r>
            <w:r>
              <w:rPr>
                <w:rFonts w:cs="Times New Roman"/>
                <w:color w:val="000000"/>
                <w:kern w:val="0"/>
                <w:sz w:val="21"/>
                <w:szCs w:val="21"/>
              </w:rPr>
              <w:t>5</w:t>
            </w:r>
            <w:r>
              <w:rPr>
                <w:rFonts w:hint="eastAsia" w:cs="Times New Roman"/>
                <w:color w:val="000000"/>
                <w:kern w:val="0"/>
                <w:sz w:val="21"/>
                <w:szCs w:val="21"/>
              </w:rPr>
              <w:t>公里廊道景观点个数</w:t>
            </w:r>
            <w:r>
              <w:rPr>
                <w:rFonts w:cs="Times New Roman"/>
                <w:color w:val="000000"/>
                <w:kern w:val="0"/>
                <w:sz w:val="21"/>
                <w:szCs w:val="21"/>
              </w:rPr>
              <w:t>2</w:t>
            </w:r>
            <w:r>
              <w:rPr>
                <w:rFonts w:hint="eastAsia" w:cs="Times New Roman"/>
                <w:color w:val="000000"/>
                <w:kern w:val="0"/>
                <w:sz w:val="21"/>
                <w:szCs w:val="21"/>
              </w:rPr>
              <w:t>个以上</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tcBorders>
              <w:top w:val="nil"/>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r>
        <w:tblPrEx>
          <w:tblCellMar>
            <w:top w:w="0" w:type="dxa"/>
            <w:left w:w="0" w:type="dxa"/>
            <w:bottom w:w="0" w:type="dxa"/>
            <w:right w:w="0" w:type="dxa"/>
          </w:tblCellMar>
        </w:tblPrEx>
        <w:trPr>
          <w:trHeight w:val="283"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r>
              <w:rPr>
                <w:rFonts w:hint="eastAsia" w:cs="Times New Roman"/>
                <w:color w:val="000000"/>
                <w:kern w:val="0"/>
                <w:sz w:val="21"/>
                <w:szCs w:val="21"/>
              </w:rPr>
              <w:t>通道绿化</w:t>
            </w:r>
          </w:p>
        </w:tc>
        <w:tc>
          <w:tcPr>
            <w:tcW w:w="9923"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exact"/>
              <w:ind w:firstLine="0" w:firstLineChars="0"/>
              <w:rPr>
                <w:rFonts w:cs="Times New Roman"/>
                <w:color w:val="000000"/>
                <w:kern w:val="0"/>
                <w:sz w:val="21"/>
                <w:szCs w:val="21"/>
              </w:rPr>
            </w:pPr>
            <w:r>
              <w:rPr>
                <w:rFonts w:hint="eastAsia" w:cs="Times New Roman"/>
                <w:color w:val="000000"/>
                <w:kern w:val="0"/>
                <w:sz w:val="21"/>
                <w:szCs w:val="21"/>
              </w:rPr>
              <w:t>生态廊道内城镇型绿道单侧绿化带宽度不宜&lt;</w:t>
            </w:r>
            <w:r>
              <w:rPr>
                <w:rFonts w:cs="Times New Roman"/>
                <w:color w:val="000000"/>
                <w:kern w:val="0"/>
                <w:sz w:val="21"/>
                <w:szCs w:val="21"/>
              </w:rPr>
              <w:t>8</w:t>
            </w:r>
            <w:r>
              <w:rPr>
                <w:rFonts w:hint="eastAsia" w:cs="Times New Roman"/>
                <w:color w:val="000000"/>
                <w:kern w:val="0"/>
                <w:sz w:val="21"/>
                <w:szCs w:val="21"/>
              </w:rPr>
              <w:t>米</w:t>
            </w:r>
            <w:r>
              <w:rPr>
                <w:rFonts w:cs="Times New Roman"/>
                <w:color w:val="000000"/>
                <w:kern w:val="0"/>
                <w:sz w:val="21"/>
                <w:szCs w:val="21"/>
              </w:rPr>
              <w:t xml:space="preserve">, </w:t>
            </w:r>
            <w:r>
              <w:rPr>
                <w:rFonts w:hint="eastAsia" w:cs="Times New Roman"/>
                <w:color w:val="000000"/>
                <w:kern w:val="0"/>
                <w:sz w:val="21"/>
                <w:szCs w:val="21"/>
              </w:rPr>
              <w:t>郊野型绿道单侧绿化带宽度不宜&lt;</w:t>
            </w:r>
            <w:r>
              <w:rPr>
                <w:rFonts w:cs="Times New Roman"/>
                <w:color w:val="000000"/>
                <w:kern w:val="0"/>
                <w:sz w:val="21"/>
                <w:szCs w:val="21"/>
              </w:rPr>
              <w:t>15</w:t>
            </w:r>
            <w:r>
              <w:rPr>
                <w:rFonts w:hint="eastAsia" w:cs="Times New Roman"/>
                <w:color w:val="000000"/>
                <w:kern w:val="0"/>
                <w:sz w:val="21"/>
                <w:szCs w:val="21"/>
              </w:rPr>
              <w:t>米，森林古道、森林步道两侧绿化无明显断带，两侧林木生长环境明显改善，培育前景良好</w:t>
            </w:r>
          </w:p>
        </w:tc>
        <w:tc>
          <w:tcPr>
            <w:tcW w:w="850"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1" w:type="dxa"/>
            <w:tcBorders>
              <w:top w:val="nil"/>
              <w:left w:val="nil"/>
              <w:bottom w:val="single" w:color="auto" w:sz="4" w:space="0"/>
              <w:right w:val="single" w:color="auto" w:sz="4" w:space="0"/>
            </w:tcBorders>
            <w:shd w:val="clear" w:color="auto" w:fill="auto"/>
            <w:noWrap/>
            <w:vAlign w:val="center"/>
          </w:tcPr>
          <w:p>
            <w:pPr>
              <w:widowControl/>
              <w:adjustRightInd w:val="0"/>
              <w:snapToGrid w:val="0"/>
              <w:spacing w:line="240" w:lineRule="exact"/>
              <w:ind w:firstLine="0" w:firstLineChars="0"/>
              <w:jc w:val="center"/>
              <w:rPr>
                <w:rFonts w:cs="Times New Roman"/>
                <w:color w:val="000000"/>
                <w:kern w:val="0"/>
                <w:sz w:val="21"/>
                <w:szCs w:val="21"/>
              </w:rPr>
            </w:pPr>
          </w:p>
        </w:tc>
        <w:tc>
          <w:tcPr>
            <w:tcW w:w="850" w:type="dxa"/>
            <w:tcBorders>
              <w:top w:val="nil"/>
              <w:left w:val="nil"/>
              <w:bottom w:val="single" w:color="auto" w:sz="4" w:space="0"/>
              <w:right w:val="single" w:color="auto" w:sz="4" w:space="0"/>
            </w:tcBorders>
          </w:tcPr>
          <w:p>
            <w:pPr>
              <w:widowControl/>
              <w:adjustRightInd w:val="0"/>
              <w:snapToGrid w:val="0"/>
              <w:spacing w:line="240" w:lineRule="exact"/>
              <w:ind w:firstLine="0" w:firstLineChars="0"/>
              <w:jc w:val="center"/>
              <w:rPr>
                <w:rFonts w:cs="Times New Roman"/>
                <w:color w:val="000000"/>
                <w:kern w:val="0"/>
                <w:sz w:val="21"/>
                <w:szCs w:val="21"/>
              </w:rPr>
            </w:pPr>
          </w:p>
        </w:tc>
      </w:tr>
    </w:tbl>
    <w:p>
      <w:pPr>
        <w:ind w:firstLine="0" w:firstLineChars="0"/>
        <w:rPr>
          <w:rFonts w:cs="Times New Roman"/>
          <w:szCs w:val="32"/>
        </w:rPr>
        <w:sectPr>
          <w:pgSz w:w="16838" w:h="11906" w:orient="landscape"/>
          <w:pgMar w:top="1418" w:right="1134" w:bottom="1134" w:left="1361" w:header="851" w:footer="1247" w:gutter="0"/>
          <w:cols w:space="425" w:num="1"/>
          <w:docGrid w:type="lines" w:linePitch="435" w:charSpace="0"/>
        </w:sectPr>
      </w:pPr>
    </w:p>
    <w:p>
      <w:pPr>
        <w:pStyle w:val="2"/>
        <w:spacing w:before="0" w:after="0"/>
        <w:ind w:firstLine="0" w:firstLineChars="0"/>
        <w:rPr>
          <w:rFonts w:ascii="方正小标宋简体" w:eastAsia="方正小标宋简体" w:cs="Times New Roman"/>
          <w:b w:val="0"/>
          <w:sz w:val="44"/>
        </w:rPr>
      </w:pPr>
      <w:bookmarkStart w:id="20" w:name="_Toc80367068"/>
      <w:r>
        <w:rPr>
          <w:rFonts w:hint="eastAsia" w:ascii="方正小标宋简体" w:eastAsia="方正小标宋简体" w:cs="Times New Roman"/>
          <w:b w:val="0"/>
          <w:sz w:val="44"/>
        </w:rPr>
        <w:t>七、美丽林相建设指导意见</w:t>
      </w:r>
      <w:bookmarkEnd w:id="20"/>
    </w:p>
    <w:p>
      <w:pPr>
        <w:ind w:firstLine="640"/>
        <w:rPr>
          <w:rFonts w:ascii="仿宋_GB2312"/>
          <w:szCs w:val="32"/>
        </w:rPr>
      </w:pPr>
    </w:p>
    <w:p>
      <w:pPr>
        <w:ind w:firstLine="640"/>
        <w:rPr>
          <w:rFonts w:ascii="黑体" w:hAnsi="黑体" w:eastAsia="黑体" w:cs="Times New Roman"/>
          <w:color w:val="000000"/>
          <w:szCs w:val="32"/>
        </w:rPr>
      </w:pPr>
      <w:bookmarkStart w:id="21" w:name="_Toc72481261"/>
      <w:r>
        <w:rPr>
          <w:rFonts w:hint="eastAsia" w:ascii="黑体" w:hAnsi="黑体" w:eastAsia="黑体" w:cs="Times New Roman"/>
          <w:color w:val="000000"/>
          <w:szCs w:val="32"/>
        </w:rPr>
        <w:t>1范围</w:t>
      </w:r>
      <w:bookmarkEnd w:id="21"/>
      <w:r>
        <w:rPr>
          <w:rFonts w:hint="eastAsia" w:ascii="黑体" w:hAnsi="黑体" w:eastAsia="黑体" w:cs="Times New Roman"/>
          <w:color w:val="000000"/>
          <w:szCs w:val="32"/>
        </w:rPr>
        <w:t xml:space="preserve"> </w:t>
      </w:r>
    </w:p>
    <w:p>
      <w:pPr>
        <w:ind w:firstLine="640"/>
        <w:rPr>
          <w:rFonts w:ascii="仿宋_GB2312" w:cs="Times New Roman"/>
          <w:szCs w:val="32"/>
        </w:rPr>
      </w:pPr>
      <w:r>
        <w:rPr>
          <w:rFonts w:hint="eastAsia" w:ascii="仿宋_GB2312" w:cs="Times New Roman"/>
          <w:szCs w:val="32"/>
        </w:rPr>
        <w:t xml:space="preserve">本指导意见规定了美丽林相建设的术语和定义、建设原则、建设方式、控制指标、作业设计与及档案管理。 </w:t>
      </w:r>
    </w:p>
    <w:p>
      <w:pPr>
        <w:ind w:firstLine="640"/>
        <w:rPr>
          <w:rFonts w:ascii="仿宋_GB2312" w:cs="Times New Roman"/>
          <w:szCs w:val="32"/>
        </w:rPr>
      </w:pPr>
      <w:r>
        <w:rPr>
          <w:rFonts w:hint="eastAsia" w:ascii="仿宋_GB2312" w:cs="Times New Roman"/>
          <w:szCs w:val="32"/>
        </w:rPr>
        <w:t xml:space="preserve">本指导意见适用于浙江省美丽林相建设活动。 </w:t>
      </w:r>
    </w:p>
    <w:p>
      <w:pPr>
        <w:ind w:firstLine="640"/>
        <w:rPr>
          <w:rFonts w:ascii="黑体" w:hAnsi="黑体" w:eastAsia="黑体" w:cs="Times New Roman"/>
          <w:color w:val="000000"/>
          <w:szCs w:val="32"/>
        </w:rPr>
      </w:pPr>
      <w:bookmarkStart w:id="22" w:name="_Toc72481262"/>
      <w:r>
        <w:rPr>
          <w:rFonts w:hint="eastAsia" w:ascii="黑体" w:hAnsi="黑体" w:eastAsia="黑体" w:cs="Times New Roman"/>
          <w:color w:val="000000"/>
          <w:szCs w:val="32"/>
        </w:rPr>
        <w:t>2规范性引用文件</w:t>
      </w:r>
      <w:bookmarkEnd w:id="22"/>
      <w:r>
        <w:rPr>
          <w:rFonts w:hint="eastAsia" w:ascii="黑体" w:hAnsi="黑体" w:eastAsia="黑体" w:cs="Times New Roman"/>
          <w:color w:val="000000"/>
          <w:szCs w:val="32"/>
        </w:rPr>
        <w:t xml:space="preserve"> </w:t>
      </w:r>
    </w:p>
    <w:p>
      <w:pPr>
        <w:ind w:firstLine="640"/>
        <w:rPr>
          <w:rFonts w:ascii="仿宋_GB2312" w:cs="Times New Roman"/>
          <w:szCs w:val="32"/>
        </w:rPr>
      </w:pPr>
      <w:r>
        <w:rPr>
          <w:rFonts w:hint="eastAsia" w:ascii="仿宋_GB2312" w:cs="Times New Roman"/>
          <w:szCs w:val="32"/>
        </w:rPr>
        <w:t xml:space="preserve">下列文件对于本文件的应用是必不可少的。凡是注日期的引用文件，仅所注日期的版本适用于 本文件。凡是不注日期的引用文件，其最新版本（包括所有的修改单）适用于本文件。 </w:t>
      </w:r>
    </w:p>
    <w:p>
      <w:pPr>
        <w:ind w:firstLine="640"/>
        <w:rPr>
          <w:rFonts w:ascii="仿宋_GB2312" w:cs="Times New Roman"/>
          <w:szCs w:val="32"/>
        </w:rPr>
      </w:pPr>
      <w:r>
        <w:rPr>
          <w:rFonts w:hint="eastAsia" w:ascii="仿宋_GB2312" w:cs="Times New Roman"/>
          <w:szCs w:val="32"/>
        </w:rPr>
        <w:t xml:space="preserve">GB/T 15781 森林抚育规程 </w:t>
      </w:r>
    </w:p>
    <w:p>
      <w:pPr>
        <w:ind w:firstLine="640"/>
        <w:rPr>
          <w:rFonts w:ascii="仿宋_GB2312" w:cs="Times New Roman"/>
          <w:szCs w:val="32"/>
        </w:rPr>
      </w:pPr>
      <w:r>
        <w:rPr>
          <w:rFonts w:hint="eastAsia" w:ascii="仿宋_GB2312" w:cs="Times New Roman"/>
          <w:szCs w:val="32"/>
        </w:rPr>
        <w:t xml:space="preserve">DB33/T 2143 森林抚育目标树选择和密度控制技术规程 </w:t>
      </w:r>
    </w:p>
    <w:p>
      <w:pPr>
        <w:pStyle w:val="11"/>
        <w:spacing w:before="0" w:beforeAutospacing="0" w:after="0" w:afterAutospacing="0"/>
        <w:ind w:firstLine="640"/>
        <w:jc w:val="both"/>
        <w:rPr>
          <w:rFonts w:ascii="仿宋_GB2312" w:hAnsi="Times New Roman" w:eastAsia="仿宋_GB2312" w:cs="Times New Roman"/>
          <w:sz w:val="32"/>
          <w:szCs w:val="32"/>
        </w:rPr>
      </w:pPr>
      <w:r>
        <w:rPr>
          <w:rFonts w:hint="eastAsia" w:ascii="仿宋_GB2312" w:hAnsi="Times New Roman" w:eastAsia="仿宋_GB2312" w:cs="Times New Roman"/>
          <w:sz w:val="32"/>
          <w:szCs w:val="32"/>
        </w:rPr>
        <w:t>GB6000 主要造林树种苗木质量分级</w:t>
      </w:r>
    </w:p>
    <w:p>
      <w:pPr>
        <w:pStyle w:val="11"/>
        <w:spacing w:before="0" w:beforeAutospacing="0" w:after="0" w:afterAutospacing="0"/>
        <w:ind w:firstLine="640"/>
        <w:jc w:val="both"/>
        <w:rPr>
          <w:rFonts w:ascii="仿宋_GB2312" w:hAnsi="Times New Roman" w:eastAsia="仿宋_GB2312" w:cs="Times New Roman"/>
          <w:sz w:val="32"/>
          <w:szCs w:val="32"/>
        </w:rPr>
      </w:pPr>
      <w:r>
        <w:rPr>
          <w:rFonts w:hint="eastAsia" w:ascii="仿宋_GB2312" w:hAnsi="Times New Roman" w:eastAsia="仿宋_GB2312" w:cs="Times New Roman"/>
          <w:sz w:val="32"/>
          <w:szCs w:val="32"/>
        </w:rPr>
        <w:t>GB/T 15776 造林技术规程</w:t>
      </w:r>
    </w:p>
    <w:p>
      <w:pPr>
        <w:ind w:firstLine="640"/>
        <w:rPr>
          <w:rFonts w:ascii="仿宋_GB2312" w:cs="Times New Roman"/>
          <w:szCs w:val="32"/>
        </w:rPr>
      </w:pPr>
      <w:r>
        <w:rPr>
          <w:rFonts w:hint="eastAsia" w:ascii="仿宋_GB2312" w:cs="Times New Roman"/>
          <w:szCs w:val="32"/>
        </w:rPr>
        <w:t>LY/T 1607 造林作业设计规程</w:t>
      </w:r>
    </w:p>
    <w:p>
      <w:pPr>
        <w:ind w:firstLine="640"/>
        <w:rPr>
          <w:rFonts w:ascii="黑体" w:hAnsi="黑体" w:eastAsia="黑体" w:cs="Times New Roman"/>
          <w:color w:val="000000"/>
          <w:szCs w:val="32"/>
        </w:rPr>
      </w:pPr>
      <w:bookmarkStart w:id="23" w:name="_Toc72481263"/>
      <w:r>
        <w:rPr>
          <w:rFonts w:hint="eastAsia" w:ascii="黑体" w:hAnsi="黑体" w:eastAsia="黑体" w:cs="Times New Roman"/>
          <w:color w:val="000000"/>
          <w:szCs w:val="32"/>
        </w:rPr>
        <w:t>3术语和定义</w:t>
      </w:r>
      <w:bookmarkEnd w:id="23"/>
      <w:r>
        <w:rPr>
          <w:rFonts w:hint="eastAsia" w:ascii="黑体" w:hAnsi="黑体" w:eastAsia="黑体" w:cs="Times New Roman"/>
          <w:color w:val="000000"/>
          <w:szCs w:val="32"/>
        </w:rPr>
        <w:t xml:space="preserve"> </w:t>
      </w:r>
    </w:p>
    <w:p>
      <w:pPr>
        <w:ind w:firstLine="640"/>
        <w:rPr>
          <w:rFonts w:ascii="仿宋_GB2312" w:cs="Times New Roman"/>
          <w:szCs w:val="32"/>
        </w:rPr>
      </w:pPr>
      <w:r>
        <w:rPr>
          <w:rFonts w:hint="eastAsia" w:ascii="仿宋_GB2312" w:cs="Times New Roman"/>
          <w:szCs w:val="32"/>
        </w:rPr>
        <w:t>下列术语和定义适用于本文件。</w:t>
      </w:r>
    </w:p>
    <w:p>
      <w:pPr>
        <w:ind w:firstLine="640"/>
        <w:rPr>
          <w:rFonts w:ascii="楷体_GB2312" w:eastAsia="楷体_GB2312" w:cs="Times New Roman"/>
          <w:szCs w:val="32"/>
        </w:rPr>
      </w:pPr>
      <w:r>
        <w:rPr>
          <w:rFonts w:hint="eastAsia" w:ascii="楷体_GB2312" w:eastAsia="楷体_GB2312" w:cs="Times New Roman"/>
          <w:szCs w:val="32"/>
        </w:rPr>
        <w:t>3.1美丽林相建设</w:t>
      </w:r>
    </w:p>
    <w:p>
      <w:pPr>
        <w:ind w:firstLine="640"/>
        <w:rPr>
          <w:rFonts w:ascii="仿宋_GB2312" w:cs="Times New Roman"/>
          <w:szCs w:val="32"/>
        </w:rPr>
      </w:pPr>
      <w:r>
        <w:rPr>
          <w:rFonts w:hint="eastAsia" w:ascii="仿宋_GB2312" w:cs="Times New Roman"/>
          <w:szCs w:val="32"/>
        </w:rPr>
        <w:t>是指在重要生态区位通过补植、抚育、封育、更新等营林技术措施，营建以景观功能为主的风景林或兼有景观功能的多功能林的经营活动。</w:t>
      </w:r>
    </w:p>
    <w:p>
      <w:pPr>
        <w:ind w:firstLine="640"/>
        <w:rPr>
          <w:rFonts w:ascii="黑体" w:hAnsi="黑体" w:eastAsia="黑体" w:cs="Times New Roman"/>
          <w:color w:val="000000"/>
          <w:szCs w:val="32"/>
        </w:rPr>
      </w:pPr>
      <w:bookmarkStart w:id="24" w:name="_Toc72481265"/>
      <w:r>
        <w:rPr>
          <w:rFonts w:hint="eastAsia" w:ascii="黑体" w:hAnsi="黑体" w:eastAsia="黑体" w:cs="Times New Roman"/>
          <w:color w:val="000000"/>
          <w:szCs w:val="32"/>
        </w:rPr>
        <w:t>4美丽林相改造技术</w:t>
      </w:r>
      <w:bookmarkEnd w:id="24"/>
    </w:p>
    <w:p>
      <w:pPr>
        <w:ind w:firstLine="640"/>
        <w:rPr>
          <w:rFonts w:ascii="楷体_GB2312" w:eastAsia="楷体_GB2312" w:cs="Times New Roman"/>
          <w:color w:val="000000"/>
          <w:szCs w:val="32"/>
        </w:rPr>
      </w:pPr>
      <w:r>
        <w:rPr>
          <w:rFonts w:hint="eastAsia" w:ascii="楷体_GB2312" w:eastAsia="楷体_GB2312" w:cs="Times New Roman"/>
          <w:color w:val="000000"/>
          <w:szCs w:val="32"/>
        </w:rPr>
        <w:t>4.1改造原则</w:t>
      </w:r>
    </w:p>
    <w:p>
      <w:pPr>
        <w:ind w:firstLine="640"/>
        <w:rPr>
          <w:rFonts w:ascii="仿宋_GB2312" w:cs="Times New Roman"/>
          <w:szCs w:val="32"/>
        </w:rPr>
      </w:pPr>
      <w:r>
        <w:rPr>
          <w:rFonts w:hint="eastAsia" w:ascii="仿宋_GB2312" w:cs="Times New Roman"/>
          <w:szCs w:val="32"/>
        </w:rPr>
        <w:t xml:space="preserve">（1）自然修复和人工促进相结合。 </w:t>
      </w:r>
    </w:p>
    <w:p>
      <w:pPr>
        <w:ind w:firstLine="640"/>
        <w:rPr>
          <w:rFonts w:ascii="仿宋_GB2312" w:cs="Times New Roman"/>
          <w:szCs w:val="32"/>
        </w:rPr>
      </w:pPr>
      <w:r>
        <w:rPr>
          <w:rFonts w:hint="eastAsia" w:ascii="仿宋_GB2312" w:cs="Times New Roman"/>
          <w:szCs w:val="32"/>
        </w:rPr>
        <w:t xml:space="preserve">（2）树种选择应乡土珍贵乔木树种优先。 </w:t>
      </w:r>
    </w:p>
    <w:p>
      <w:pPr>
        <w:ind w:firstLine="640"/>
        <w:rPr>
          <w:rFonts w:ascii="仿宋_GB2312" w:cs="Times New Roman"/>
          <w:szCs w:val="32"/>
        </w:rPr>
      </w:pPr>
      <w:r>
        <w:rPr>
          <w:rFonts w:hint="eastAsia" w:ascii="仿宋_GB2312" w:cs="Times New Roman"/>
          <w:szCs w:val="32"/>
        </w:rPr>
        <w:t xml:space="preserve">（3）生态景观优先，多目标经营。 </w:t>
      </w:r>
    </w:p>
    <w:p>
      <w:pPr>
        <w:ind w:firstLine="640"/>
        <w:rPr>
          <w:rFonts w:ascii="仿宋_GB2312" w:cs="Times New Roman"/>
          <w:color w:val="000000"/>
          <w:szCs w:val="32"/>
        </w:rPr>
      </w:pPr>
      <w:r>
        <w:rPr>
          <w:rFonts w:hint="eastAsia" w:ascii="仿宋_GB2312" w:cs="Times New Roman"/>
          <w:szCs w:val="32"/>
        </w:rPr>
        <w:t>（4）统一规划，因林施策。</w:t>
      </w:r>
    </w:p>
    <w:p>
      <w:pPr>
        <w:ind w:firstLine="640"/>
        <w:rPr>
          <w:rFonts w:ascii="楷体_GB2312" w:eastAsia="楷体_GB2312" w:cs="Times New Roman"/>
          <w:szCs w:val="32"/>
        </w:rPr>
      </w:pPr>
      <w:bookmarkStart w:id="25" w:name="_Toc72481266"/>
      <w:r>
        <w:rPr>
          <w:rFonts w:hint="eastAsia" w:ascii="楷体_GB2312" w:eastAsia="楷体_GB2312" w:cs="Times New Roman"/>
          <w:szCs w:val="32"/>
        </w:rPr>
        <w:t>4.2改造目标</w:t>
      </w:r>
      <w:bookmarkEnd w:id="25"/>
      <w:r>
        <w:rPr>
          <w:rFonts w:hint="eastAsia" w:ascii="楷体_GB2312" w:eastAsia="楷体_GB2312" w:cs="Times New Roman"/>
          <w:szCs w:val="32"/>
        </w:rPr>
        <w:t xml:space="preserve"> </w:t>
      </w:r>
    </w:p>
    <w:p>
      <w:pPr>
        <w:ind w:firstLine="640"/>
        <w:rPr>
          <w:rFonts w:ascii="仿宋_GB2312" w:cs="Times New Roman"/>
          <w:szCs w:val="32"/>
        </w:rPr>
      </w:pPr>
      <w:r>
        <w:rPr>
          <w:rFonts w:hint="eastAsia" w:ascii="仿宋_GB2312" w:cs="Times New Roman"/>
          <w:szCs w:val="32"/>
        </w:rPr>
        <w:t xml:space="preserve">通过实地调查，根据不同的区位特点、林分现状、经营条件等因素，以小班为经营单元，确定目标林分。 </w:t>
      </w:r>
    </w:p>
    <w:p>
      <w:pPr>
        <w:ind w:firstLine="640"/>
        <w:rPr>
          <w:rFonts w:ascii="楷体_GB2312" w:eastAsia="楷体_GB2312" w:cs="Times New Roman"/>
          <w:szCs w:val="32"/>
        </w:rPr>
      </w:pPr>
      <w:bookmarkStart w:id="26" w:name="_Toc72481267"/>
      <w:r>
        <w:rPr>
          <w:rFonts w:hint="eastAsia" w:ascii="楷体_GB2312" w:eastAsia="楷体_GB2312" w:cs="Times New Roman"/>
          <w:szCs w:val="32"/>
        </w:rPr>
        <w:t>4.3布局配置</w:t>
      </w:r>
      <w:bookmarkEnd w:id="26"/>
      <w:r>
        <w:rPr>
          <w:rFonts w:hint="eastAsia" w:ascii="楷体_GB2312" w:eastAsia="楷体_GB2312" w:cs="Times New Roman"/>
          <w:szCs w:val="32"/>
        </w:rPr>
        <w:t xml:space="preserve"> </w:t>
      </w:r>
    </w:p>
    <w:p>
      <w:pPr>
        <w:ind w:firstLine="640"/>
        <w:rPr>
          <w:rFonts w:ascii="仿宋_GB2312" w:cs="Times New Roman"/>
          <w:szCs w:val="32"/>
        </w:rPr>
      </w:pPr>
      <w:r>
        <w:rPr>
          <w:rFonts w:hint="eastAsia" w:ascii="仿宋_GB2312" w:cs="Times New Roman"/>
          <w:szCs w:val="32"/>
        </w:rPr>
        <w:t xml:space="preserve">综合考虑项目区林分类型、景观特征、功能需求，优化空间布局和科学合理配置。 </w:t>
      </w:r>
    </w:p>
    <w:p>
      <w:pPr>
        <w:ind w:firstLine="640"/>
        <w:rPr>
          <w:rFonts w:ascii="楷体_GB2312" w:eastAsia="楷体_GB2312" w:cs="Times New Roman"/>
          <w:szCs w:val="32"/>
        </w:rPr>
      </w:pPr>
      <w:r>
        <w:rPr>
          <w:rFonts w:hint="eastAsia" w:ascii="楷体_GB2312" w:eastAsia="楷体_GB2312" w:cs="Times New Roman"/>
          <w:szCs w:val="32"/>
        </w:rPr>
        <w:t xml:space="preserve">4.4补植改造 </w:t>
      </w:r>
    </w:p>
    <w:p>
      <w:pPr>
        <w:ind w:firstLine="643"/>
        <w:rPr>
          <w:rFonts w:ascii="仿宋_GB2312" w:cs="Times New Roman"/>
          <w:b/>
          <w:szCs w:val="32"/>
        </w:rPr>
      </w:pPr>
      <w:bookmarkStart w:id="27" w:name="_Toc72481268"/>
      <w:r>
        <w:rPr>
          <w:rFonts w:hint="eastAsia" w:ascii="仿宋_GB2312" w:cs="Times New Roman"/>
          <w:b/>
          <w:szCs w:val="32"/>
        </w:rPr>
        <w:t>4.4.1适用对象</w:t>
      </w:r>
      <w:bookmarkEnd w:id="27"/>
      <w:r>
        <w:rPr>
          <w:rFonts w:hint="eastAsia" w:ascii="仿宋_GB2312" w:cs="Times New Roman"/>
          <w:b/>
          <w:szCs w:val="32"/>
        </w:rPr>
        <w:t xml:space="preserve"> </w:t>
      </w:r>
    </w:p>
    <w:p>
      <w:pPr>
        <w:ind w:firstLine="640"/>
        <w:rPr>
          <w:rFonts w:ascii="仿宋_GB2312" w:cs="Times New Roman"/>
          <w:szCs w:val="32"/>
        </w:rPr>
      </w:pPr>
      <w:r>
        <w:rPr>
          <w:rFonts w:hint="eastAsia" w:ascii="仿宋_GB2312" w:cs="Times New Roman"/>
          <w:szCs w:val="32"/>
        </w:rPr>
        <w:t>美丽林相建设适用于以下林分：</w:t>
      </w:r>
    </w:p>
    <w:p>
      <w:pPr>
        <w:ind w:firstLine="640"/>
        <w:rPr>
          <w:rFonts w:ascii="仿宋_GB2312" w:cs="Times New Roman"/>
          <w:szCs w:val="32"/>
        </w:rPr>
      </w:pPr>
      <w:r>
        <w:rPr>
          <w:rFonts w:hint="eastAsia" w:ascii="仿宋_GB2312" w:cs="Times New Roman"/>
          <w:szCs w:val="32"/>
        </w:rPr>
        <w:t>（1）人工针叶纯林。</w:t>
      </w:r>
    </w:p>
    <w:p>
      <w:pPr>
        <w:ind w:firstLine="640"/>
        <w:rPr>
          <w:rFonts w:ascii="仿宋_GB2312" w:cs="Times New Roman"/>
          <w:szCs w:val="32"/>
        </w:rPr>
      </w:pPr>
      <w:r>
        <w:rPr>
          <w:rFonts w:hint="eastAsia" w:ascii="仿宋_GB2312" w:cs="Times New Roman"/>
          <w:szCs w:val="32"/>
        </w:rPr>
        <w:t>（2）缺乏目标景观树种的针阔混交林。</w:t>
      </w:r>
    </w:p>
    <w:p>
      <w:pPr>
        <w:ind w:firstLine="640"/>
        <w:rPr>
          <w:rFonts w:ascii="仿宋_GB2312" w:cs="Times New Roman"/>
          <w:szCs w:val="32"/>
        </w:rPr>
      </w:pPr>
      <w:r>
        <w:rPr>
          <w:rFonts w:hint="eastAsia" w:ascii="仿宋_GB2312" w:cs="Times New Roman"/>
          <w:szCs w:val="32"/>
        </w:rPr>
        <w:t>（3）缺乏目标景观树种的退化次生阔叶林。</w:t>
      </w:r>
    </w:p>
    <w:p>
      <w:pPr>
        <w:ind w:firstLine="640"/>
        <w:rPr>
          <w:rFonts w:ascii="仿宋_GB2312" w:cs="Times New Roman"/>
          <w:szCs w:val="32"/>
        </w:rPr>
      </w:pPr>
      <w:r>
        <w:rPr>
          <w:rFonts w:hint="eastAsia" w:ascii="仿宋_GB2312" w:cs="Times New Roman"/>
          <w:szCs w:val="32"/>
        </w:rPr>
        <w:t>（4）城镇周边、通道两侧、景区等重要区域与节点。</w:t>
      </w:r>
    </w:p>
    <w:p>
      <w:pPr>
        <w:ind w:firstLine="640"/>
        <w:rPr>
          <w:rFonts w:ascii="楷体_GB2312" w:eastAsia="楷体_GB2312" w:cs="Times New Roman"/>
          <w:szCs w:val="32"/>
        </w:rPr>
      </w:pPr>
      <w:bookmarkStart w:id="28" w:name="_Toc72481269"/>
      <w:bookmarkStart w:id="29" w:name="_Toc434237976"/>
      <w:r>
        <w:rPr>
          <w:rFonts w:hint="eastAsia" w:ascii="楷体_GB2312" w:eastAsia="楷体_GB2312" w:cs="Times New Roman"/>
          <w:szCs w:val="32"/>
        </w:rPr>
        <w:t>4.5建设方式</w:t>
      </w:r>
      <w:bookmarkEnd w:id="28"/>
      <w:bookmarkEnd w:id="29"/>
    </w:p>
    <w:p>
      <w:pPr>
        <w:ind w:firstLine="643"/>
        <w:rPr>
          <w:rFonts w:ascii="仿宋_GB2312" w:cs="Times New Roman"/>
          <w:b/>
          <w:szCs w:val="32"/>
        </w:rPr>
      </w:pPr>
      <w:r>
        <w:rPr>
          <w:rFonts w:hint="eastAsia" w:ascii="仿宋_GB2312" w:cs="Times New Roman"/>
          <w:b/>
          <w:szCs w:val="32"/>
        </w:rPr>
        <w:t>4.5.1补植</w:t>
      </w:r>
    </w:p>
    <w:p>
      <w:pPr>
        <w:ind w:firstLine="640"/>
        <w:rPr>
          <w:rFonts w:ascii="仿宋_GB2312" w:cs="Times New Roman"/>
          <w:szCs w:val="32"/>
        </w:rPr>
      </w:pPr>
      <w:r>
        <w:rPr>
          <w:rFonts w:hint="eastAsia" w:ascii="仿宋_GB2312" w:cs="Times New Roman"/>
          <w:szCs w:val="32"/>
        </w:rPr>
        <w:t>（1）对立木数量较少、林分郁闭度较低、阔叶树种比例较低的针叶中幼龄林，通过补植阔叶树种和加强对阔叶树种的定向抚育，加速针阔混交林的形成。</w:t>
      </w:r>
    </w:p>
    <w:p>
      <w:pPr>
        <w:ind w:firstLine="640"/>
        <w:rPr>
          <w:rFonts w:ascii="仿宋_GB2312" w:cs="Times New Roman"/>
          <w:szCs w:val="32"/>
        </w:rPr>
      </w:pPr>
      <w:r>
        <w:rPr>
          <w:rFonts w:hint="eastAsia" w:ascii="仿宋_GB2312" w:cs="Times New Roman"/>
          <w:szCs w:val="32"/>
        </w:rPr>
        <w:t>（2）对林下简单、立木株数少的高大乔木成熟林，通过林下补植花灌木形成乔灌复层林。</w:t>
      </w:r>
    </w:p>
    <w:p>
      <w:pPr>
        <w:ind w:firstLine="640"/>
        <w:rPr>
          <w:rFonts w:ascii="仿宋_GB2312" w:cs="Times New Roman"/>
          <w:szCs w:val="32"/>
        </w:rPr>
      </w:pPr>
      <w:r>
        <w:rPr>
          <w:rFonts w:hint="eastAsia" w:ascii="仿宋_GB2312" w:cs="Times New Roman"/>
          <w:szCs w:val="32"/>
        </w:rPr>
        <w:t>（3）对现有栎灌进行补植阔叶树种和林内阔叶树种资源的定向促抚措施，加快阔叶林形成。</w:t>
      </w:r>
    </w:p>
    <w:p>
      <w:pPr>
        <w:ind w:firstLine="640"/>
        <w:rPr>
          <w:rFonts w:ascii="仿宋_GB2312" w:cs="Times New Roman"/>
          <w:szCs w:val="32"/>
        </w:rPr>
      </w:pPr>
      <w:r>
        <w:rPr>
          <w:rFonts w:hint="eastAsia" w:ascii="仿宋_GB2312" w:cs="Times New Roman"/>
          <w:szCs w:val="32"/>
        </w:rPr>
        <w:t>（4）对单位面积较大的落叶阔叶经济林，通过点状林内补植常绿乔木树种或林下补植常绿花灌木树种，以提高丰富景观。</w:t>
      </w:r>
    </w:p>
    <w:p>
      <w:pPr>
        <w:ind w:firstLine="643"/>
        <w:rPr>
          <w:rFonts w:ascii="仿宋_GB2312" w:cs="Times New Roman"/>
          <w:b/>
          <w:szCs w:val="32"/>
        </w:rPr>
      </w:pPr>
      <w:r>
        <w:rPr>
          <w:rFonts w:hint="eastAsia" w:ascii="仿宋_GB2312" w:cs="Times New Roman"/>
          <w:b/>
          <w:szCs w:val="32"/>
        </w:rPr>
        <w:t>4.5.2间伐</w:t>
      </w:r>
    </w:p>
    <w:p>
      <w:pPr>
        <w:ind w:firstLine="640"/>
        <w:rPr>
          <w:rFonts w:ascii="仿宋_GB2312" w:cs="Times New Roman"/>
          <w:szCs w:val="32"/>
        </w:rPr>
      </w:pPr>
      <w:r>
        <w:rPr>
          <w:rFonts w:hint="eastAsia" w:ascii="仿宋_GB2312" w:cs="Times New Roman"/>
          <w:szCs w:val="32"/>
        </w:rPr>
        <w:t>（1）林内有一定比例阔叶树种的针叶中龄林、近成熟林，通过间伐针叶树种，对林内阔叶树种进行定向促进抚育，加快阔叶树种生长，提高阔叶树种景观在整体森林景观的位置。</w:t>
      </w:r>
    </w:p>
    <w:p>
      <w:pPr>
        <w:ind w:firstLine="640"/>
        <w:rPr>
          <w:rFonts w:ascii="仿宋_GB2312" w:cs="Times New Roman"/>
          <w:szCs w:val="32"/>
        </w:rPr>
      </w:pPr>
      <w:r>
        <w:rPr>
          <w:rFonts w:hint="eastAsia" w:ascii="仿宋_GB2312" w:cs="Times New Roman"/>
          <w:szCs w:val="32"/>
        </w:rPr>
        <w:t>（2）对林内目标树种资源丰富的林分，拟通过整理非目标树种、加强对目标树种的定向抚育，加速目标景观的形成。</w:t>
      </w:r>
    </w:p>
    <w:p>
      <w:pPr>
        <w:ind w:firstLine="643"/>
        <w:rPr>
          <w:rFonts w:ascii="仿宋_GB2312" w:cs="Times New Roman"/>
          <w:b/>
          <w:szCs w:val="32"/>
        </w:rPr>
      </w:pPr>
      <w:r>
        <w:rPr>
          <w:rFonts w:hint="eastAsia" w:ascii="仿宋_GB2312" w:cs="Times New Roman"/>
          <w:b/>
          <w:szCs w:val="32"/>
        </w:rPr>
        <w:t>4.5.3割灌除草</w:t>
      </w:r>
    </w:p>
    <w:p>
      <w:pPr>
        <w:ind w:firstLine="640"/>
        <w:rPr>
          <w:rFonts w:ascii="仿宋_GB2312" w:cs="Times New Roman"/>
          <w:szCs w:val="32"/>
        </w:rPr>
      </w:pPr>
      <w:r>
        <w:rPr>
          <w:rFonts w:hint="eastAsia" w:ascii="仿宋_GB2312" w:cs="Times New Roman"/>
          <w:szCs w:val="32"/>
        </w:rPr>
        <w:t>对可视范围内的林缘及重要区域可通过割灌除草等措施，提高景观透视度和减少森林火灾发生。</w:t>
      </w:r>
    </w:p>
    <w:p>
      <w:pPr>
        <w:ind w:firstLine="643"/>
        <w:rPr>
          <w:rFonts w:ascii="仿宋_GB2312" w:cs="Times New Roman"/>
          <w:b/>
          <w:szCs w:val="32"/>
        </w:rPr>
      </w:pPr>
      <w:r>
        <w:rPr>
          <w:rFonts w:hint="eastAsia" w:ascii="仿宋_GB2312" w:cs="Times New Roman"/>
          <w:b/>
          <w:szCs w:val="32"/>
        </w:rPr>
        <w:t>4.5.4综合抚育</w:t>
      </w:r>
    </w:p>
    <w:p>
      <w:pPr>
        <w:ind w:firstLine="640"/>
        <w:rPr>
          <w:rFonts w:ascii="仿宋_GB2312" w:cs="Times New Roman"/>
          <w:szCs w:val="32"/>
        </w:rPr>
      </w:pPr>
      <w:r>
        <w:rPr>
          <w:rFonts w:hint="eastAsia" w:ascii="仿宋_GB2312" w:cs="Times New Roman"/>
          <w:szCs w:val="32"/>
        </w:rPr>
        <w:t>包括间伐+补植、间伐+施肥、松土+施肥、间伐+修枝等2种以上抚育措施。</w:t>
      </w:r>
    </w:p>
    <w:p>
      <w:pPr>
        <w:ind w:firstLine="643"/>
        <w:rPr>
          <w:rFonts w:ascii="仿宋_GB2312" w:cs="Times New Roman"/>
          <w:b/>
          <w:szCs w:val="32"/>
        </w:rPr>
      </w:pPr>
      <w:r>
        <w:rPr>
          <w:rFonts w:hint="eastAsia" w:ascii="仿宋_GB2312" w:cs="Times New Roman"/>
          <w:b/>
          <w:szCs w:val="32"/>
        </w:rPr>
        <w:t>4.5.6技术要求</w:t>
      </w:r>
    </w:p>
    <w:p>
      <w:pPr>
        <w:ind w:firstLine="640"/>
        <w:rPr>
          <w:rFonts w:ascii="仿宋_GB2312" w:cs="Times New Roman"/>
          <w:szCs w:val="32"/>
        </w:rPr>
      </w:pPr>
      <w:r>
        <w:rPr>
          <w:rFonts w:hint="eastAsia" w:ascii="仿宋_GB2312" w:cs="Times New Roman"/>
          <w:szCs w:val="32"/>
        </w:rPr>
        <w:t>参照GB/T 15781执行。</w:t>
      </w:r>
    </w:p>
    <w:p>
      <w:pPr>
        <w:ind w:firstLine="640"/>
        <w:rPr>
          <w:rFonts w:ascii="黑体" w:hAnsi="黑体" w:eastAsia="黑体" w:cs="Times New Roman"/>
          <w:color w:val="000000"/>
          <w:szCs w:val="32"/>
        </w:rPr>
      </w:pPr>
      <w:bookmarkStart w:id="30" w:name="_Toc72481270"/>
      <w:r>
        <w:rPr>
          <w:rFonts w:hint="eastAsia" w:ascii="黑体" w:hAnsi="黑体" w:eastAsia="黑体" w:cs="Times New Roman"/>
          <w:color w:val="000000"/>
          <w:szCs w:val="32"/>
        </w:rPr>
        <w:t>5控制指标</w:t>
      </w:r>
      <w:bookmarkEnd w:id="30"/>
    </w:p>
    <w:p>
      <w:pPr>
        <w:ind w:firstLine="640"/>
        <w:rPr>
          <w:rFonts w:ascii="仿宋_GB2312" w:cs="Times New Roman"/>
          <w:color w:val="000000"/>
          <w:szCs w:val="32"/>
        </w:rPr>
      </w:pPr>
      <w:r>
        <w:rPr>
          <w:rFonts w:hint="eastAsia" w:ascii="仿宋_GB2312" w:cs="Times New Roman"/>
          <w:color w:val="000000"/>
          <w:szCs w:val="32"/>
        </w:rPr>
        <w:t>美丽林相控制指标</w:t>
      </w:r>
    </w:p>
    <w:p>
      <w:pPr>
        <w:ind w:firstLine="640"/>
        <w:rPr>
          <w:rFonts w:ascii="仿宋_GB2312" w:cs="Times New Roman"/>
          <w:szCs w:val="32"/>
        </w:rPr>
      </w:pPr>
      <w:r>
        <w:rPr>
          <w:rFonts w:hint="eastAsia" w:ascii="仿宋_GB2312" w:cs="Times New Roman"/>
          <w:szCs w:val="32"/>
        </w:rPr>
        <w:t>（1）美丽林相单块面积≥50亩。</w:t>
      </w:r>
    </w:p>
    <w:p>
      <w:pPr>
        <w:ind w:firstLine="640"/>
        <w:rPr>
          <w:rFonts w:ascii="仿宋_GB2312" w:cs="Times New Roman"/>
          <w:szCs w:val="32"/>
        </w:rPr>
      </w:pPr>
      <w:r>
        <w:rPr>
          <w:rFonts w:hint="eastAsia" w:ascii="仿宋_GB2312" w:cs="Times New Roman"/>
          <w:szCs w:val="32"/>
        </w:rPr>
        <w:t>（2）属于复层林的地块，复层林主林层郁闭度一般在0.3-0.5左右；次林层林冠高度应为主林冠的1/2-2/3；属于单层林的地块，阔叶混交林中落叶树种占1/3-2/3。</w:t>
      </w:r>
    </w:p>
    <w:p>
      <w:pPr>
        <w:ind w:firstLine="640"/>
        <w:rPr>
          <w:rFonts w:ascii="仿宋_GB2312" w:cs="Times New Roman"/>
          <w:szCs w:val="32"/>
        </w:rPr>
      </w:pPr>
      <w:r>
        <w:rPr>
          <w:rFonts w:hint="eastAsia" w:ascii="仿宋_GB2312" w:cs="Times New Roman"/>
          <w:szCs w:val="32"/>
        </w:rPr>
        <w:t>（3）林缘30米范围内林下灌草盖度&lt;10%。</w:t>
      </w:r>
    </w:p>
    <w:p>
      <w:pPr>
        <w:ind w:firstLine="640"/>
        <w:rPr>
          <w:rFonts w:ascii="黑体" w:hAnsi="黑体" w:eastAsia="黑体" w:cs="Times New Roman"/>
          <w:color w:val="000000"/>
          <w:szCs w:val="32"/>
        </w:rPr>
      </w:pPr>
      <w:bookmarkStart w:id="31" w:name="_Toc72481271"/>
      <w:r>
        <w:rPr>
          <w:rFonts w:hint="eastAsia" w:ascii="黑体" w:hAnsi="黑体" w:eastAsia="黑体" w:cs="Times New Roman"/>
          <w:color w:val="000000"/>
          <w:szCs w:val="32"/>
        </w:rPr>
        <w:t>6保护措施</w:t>
      </w:r>
      <w:bookmarkEnd w:id="31"/>
      <w:r>
        <w:rPr>
          <w:rFonts w:hint="eastAsia" w:ascii="黑体" w:hAnsi="黑体" w:eastAsia="黑体" w:cs="Times New Roman"/>
          <w:color w:val="000000"/>
          <w:szCs w:val="32"/>
        </w:rPr>
        <w:t xml:space="preserve"> </w:t>
      </w:r>
    </w:p>
    <w:p>
      <w:pPr>
        <w:ind w:firstLine="640"/>
        <w:rPr>
          <w:rFonts w:ascii="仿宋_GB2312" w:cs="Times New Roman"/>
          <w:color w:val="000000"/>
          <w:szCs w:val="32"/>
        </w:rPr>
      </w:pPr>
      <w:r>
        <w:rPr>
          <w:rFonts w:hint="eastAsia" w:ascii="仿宋_GB2312" w:cs="Times New Roman"/>
          <w:szCs w:val="32"/>
        </w:rPr>
        <w:t>保护措施按照LY/T 1690的规定执行。</w:t>
      </w:r>
      <w:r>
        <w:rPr>
          <w:rFonts w:hint="eastAsia" w:ascii="仿宋_GB2312" w:cs="Times New Roman"/>
          <w:color w:val="000000"/>
          <w:szCs w:val="32"/>
        </w:rPr>
        <w:t xml:space="preserve"> </w:t>
      </w:r>
    </w:p>
    <w:p>
      <w:pPr>
        <w:ind w:firstLine="640"/>
        <w:rPr>
          <w:rFonts w:ascii="黑体" w:hAnsi="黑体" w:eastAsia="黑体" w:cs="Times New Roman"/>
          <w:color w:val="000000"/>
          <w:szCs w:val="32"/>
        </w:rPr>
      </w:pPr>
      <w:bookmarkStart w:id="32" w:name="_Toc72481272"/>
      <w:r>
        <w:rPr>
          <w:rFonts w:hint="eastAsia" w:ascii="黑体" w:hAnsi="黑体" w:eastAsia="黑体" w:cs="Times New Roman"/>
          <w:color w:val="000000"/>
          <w:szCs w:val="32"/>
        </w:rPr>
        <w:t>7作业设计</w:t>
      </w:r>
      <w:bookmarkEnd w:id="32"/>
      <w:r>
        <w:rPr>
          <w:rFonts w:hint="eastAsia" w:ascii="黑体" w:hAnsi="黑体" w:eastAsia="黑体" w:cs="Times New Roman"/>
          <w:color w:val="000000"/>
          <w:szCs w:val="32"/>
        </w:rPr>
        <w:t xml:space="preserve"> </w:t>
      </w:r>
    </w:p>
    <w:p>
      <w:pPr>
        <w:ind w:firstLine="640"/>
        <w:rPr>
          <w:rFonts w:ascii="仿宋_GB2312" w:cs="Times New Roman"/>
          <w:szCs w:val="32"/>
        </w:rPr>
      </w:pPr>
      <w:r>
        <w:rPr>
          <w:rFonts w:hint="eastAsia" w:ascii="仿宋_GB2312" w:cs="Times New Roman"/>
          <w:szCs w:val="32"/>
        </w:rPr>
        <w:t>按照DB33/T 2078的规定执行。</w:t>
      </w:r>
    </w:p>
    <w:p>
      <w:pPr>
        <w:ind w:firstLine="640"/>
        <w:rPr>
          <w:rFonts w:ascii="黑体" w:hAnsi="黑体" w:eastAsia="黑体" w:cs="Times New Roman"/>
          <w:color w:val="000000"/>
          <w:szCs w:val="32"/>
        </w:rPr>
      </w:pPr>
      <w:bookmarkStart w:id="33" w:name="_Toc72481273"/>
      <w:r>
        <w:rPr>
          <w:rFonts w:hint="eastAsia" w:ascii="黑体" w:hAnsi="黑体" w:eastAsia="黑体" w:cs="Times New Roman"/>
          <w:color w:val="000000"/>
          <w:szCs w:val="32"/>
        </w:rPr>
        <w:t>8档案管理</w:t>
      </w:r>
      <w:bookmarkEnd w:id="33"/>
    </w:p>
    <w:p>
      <w:pPr>
        <w:ind w:firstLine="640"/>
        <w:rPr>
          <w:rFonts w:ascii="仿宋_GB2312" w:cs="Times New Roman"/>
          <w:szCs w:val="32"/>
        </w:rPr>
      </w:pPr>
      <w:r>
        <w:rPr>
          <w:rFonts w:hint="eastAsia" w:ascii="仿宋_GB2312" w:cs="Times New Roman"/>
          <w:szCs w:val="32"/>
        </w:rPr>
        <w:t>参照GB/T 15781执行。</w:t>
      </w:r>
    </w:p>
    <w:p>
      <w:pPr>
        <w:ind w:firstLine="0" w:firstLineChars="0"/>
        <w:rPr>
          <w:rFonts w:cs="Times New Roman"/>
          <w:szCs w:val="32"/>
        </w:rPr>
      </w:pPr>
    </w:p>
    <w:p>
      <w:pPr>
        <w:ind w:firstLine="0" w:firstLineChars="0"/>
        <w:rPr>
          <w:rFonts w:cs="Times New Roman"/>
          <w:szCs w:val="32"/>
        </w:rPr>
        <w:sectPr>
          <w:pgSz w:w="11906" w:h="16838"/>
          <w:pgMar w:top="1928" w:right="1304" w:bottom="1531" w:left="1531" w:header="851" w:footer="1474" w:gutter="0"/>
          <w:cols w:space="425" w:num="1"/>
          <w:docGrid w:type="lines" w:linePitch="312" w:charSpace="0"/>
        </w:sectPr>
      </w:pPr>
    </w:p>
    <w:p>
      <w:pPr>
        <w:pStyle w:val="2"/>
        <w:spacing w:before="0" w:after="0"/>
        <w:ind w:firstLine="0" w:firstLineChars="0"/>
        <w:rPr>
          <w:rFonts w:ascii="方正小标宋简体" w:eastAsia="方正小标宋简体" w:cs="Times New Roman"/>
          <w:b w:val="0"/>
          <w:sz w:val="44"/>
        </w:rPr>
      </w:pPr>
      <w:bookmarkStart w:id="34" w:name="_Toc80367069"/>
      <w:r>
        <w:rPr>
          <w:rFonts w:hint="eastAsia" w:ascii="方正小标宋简体" w:eastAsia="方正小标宋简体" w:cs="Times New Roman"/>
          <w:b w:val="0"/>
          <w:sz w:val="44"/>
        </w:rPr>
        <w:t>八、湿地生态修复建设指导意见</w:t>
      </w:r>
      <w:bookmarkEnd w:id="34"/>
    </w:p>
    <w:p>
      <w:pPr>
        <w:ind w:firstLine="640"/>
        <w:rPr>
          <w:rFonts w:ascii="仿宋_GB2312"/>
        </w:rPr>
      </w:pPr>
    </w:p>
    <w:p>
      <w:pPr>
        <w:ind w:firstLine="640"/>
        <w:rPr>
          <w:rFonts w:ascii="黑体" w:hAnsi="黑体" w:eastAsia="黑体" w:cs="Times New Roman"/>
          <w:color w:val="000000"/>
          <w:szCs w:val="32"/>
        </w:rPr>
      </w:pPr>
      <w:bookmarkStart w:id="35" w:name="_Toc72481275"/>
      <w:r>
        <w:rPr>
          <w:rFonts w:hint="eastAsia" w:ascii="黑体" w:hAnsi="黑体" w:eastAsia="黑体" w:cs="Times New Roman"/>
          <w:color w:val="000000"/>
          <w:szCs w:val="32"/>
        </w:rPr>
        <w:t>1生态修复概念</w:t>
      </w:r>
      <w:bookmarkEnd w:id="35"/>
    </w:p>
    <w:p>
      <w:pPr>
        <w:ind w:firstLine="640"/>
        <w:rPr>
          <w:rFonts w:ascii="仿宋_GB2312" w:cs="Times New Roman"/>
        </w:rPr>
      </w:pPr>
      <w:r>
        <w:rPr>
          <w:rFonts w:hint="eastAsia" w:ascii="仿宋_GB2312" w:cs="Times New Roman"/>
        </w:rPr>
        <w:t>通过适当的生态技术或工程措施，对退化或消失的湿地进行修复或重建，也包括新建湿地，构建完整的湿地生态系统结构，实现湿地生态系统自我维持并发挥原有的或预设的生态功能。</w:t>
      </w:r>
    </w:p>
    <w:p>
      <w:pPr>
        <w:ind w:firstLine="640"/>
        <w:rPr>
          <w:rFonts w:ascii="黑体" w:hAnsi="黑体" w:eastAsia="黑体" w:cs="Times New Roman"/>
          <w:color w:val="000000"/>
          <w:szCs w:val="32"/>
        </w:rPr>
      </w:pPr>
      <w:bookmarkStart w:id="36" w:name="_Toc72481276"/>
      <w:r>
        <w:rPr>
          <w:rFonts w:hint="eastAsia" w:ascii="黑体" w:hAnsi="黑体" w:eastAsia="黑体" w:cs="Times New Roman"/>
          <w:color w:val="000000"/>
          <w:szCs w:val="32"/>
        </w:rPr>
        <w:t>2生态修复目标</w:t>
      </w:r>
      <w:bookmarkEnd w:id="36"/>
    </w:p>
    <w:p>
      <w:pPr>
        <w:ind w:firstLine="640"/>
        <w:rPr>
          <w:rFonts w:ascii="仿宋_GB2312" w:cs="Times New Roman"/>
        </w:rPr>
      </w:pPr>
      <w:r>
        <w:rPr>
          <w:rFonts w:hint="eastAsia" w:ascii="仿宋_GB2312" w:cs="Times New Roman"/>
        </w:rPr>
        <w:t>保持湿地面积稳定或增加。保持湿地野生动植物种群不减少，维护湿地生物多样性。保持湿地大气、土壤和区域水环境质量不降低，提升湿地生态系统稳定性，增强并充分发挥湿地生态系统功能和效益，实现湿地生态保护、生态产业、生态文化协调发展。</w:t>
      </w:r>
    </w:p>
    <w:p>
      <w:pPr>
        <w:ind w:firstLine="640"/>
        <w:rPr>
          <w:rFonts w:ascii="黑体" w:hAnsi="黑体" w:eastAsia="黑体" w:cs="Times New Roman"/>
          <w:color w:val="000000"/>
          <w:szCs w:val="32"/>
        </w:rPr>
      </w:pPr>
      <w:bookmarkStart w:id="37" w:name="_Toc72481277"/>
      <w:r>
        <w:rPr>
          <w:rFonts w:hint="eastAsia" w:ascii="黑体" w:hAnsi="黑体" w:eastAsia="黑体" w:cs="Times New Roman"/>
          <w:color w:val="000000"/>
          <w:szCs w:val="32"/>
        </w:rPr>
        <w:t>3生态修复原则</w:t>
      </w:r>
      <w:bookmarkEnd w:id="37"/>
    </w:p>
    <w:p>
      <w:pPr>
        <w:pStyle w:val="26"/>
        <w:spacing w:line="580" w:lineRule="exact"/>
        <w:ind w:firstLine="640"/>
        <w:rPr>
          <w:rFonts w:ascii="楷体_GB2312" w:eastAsia="楷体_GB2312"/>
          <w:sz w:val="32"/>
          <w:szCs w:val="32"/>
        </w:rPr>
      </w:pPr>
      <w:r>
        <w:rPr>
          <w:rFonts w:hint="eastAsia" w:ascii="楷体_GB2312" w:eastAsia="楷体_GB2312"/>
          <w:sz w:val="32"/>
          <w:szCs w:val="32"/>
        </w:rPr>
        <w:t>3.1生态性原则</w:t>
      </w:r>
    </w:p>
    <w:p>
      <w:pPr>
        <w:ind w:firstLine="640"/>
        <w:rPr>
          <w:rFonts w:ascii="仿宋_GB2312" w:cs="Times New Roman"/>
        </w:rPr>
      </w:pPr>
      <w:r>
        <w:rPr>
          <w:rFonts w:hint="eastAsia" w:ascii="仿宋_GB2312" w:cs="Times New Roman"/>
        </w:rPr>
        <w:t>从维护湿地生态系统结构和功能的完整性、防止湿地退化的要求出发，通过适度人工干预，维护湿地生态过程，为湿地生物的生存提供最大的栖息空间，并改善湿地景观；工程建设优先采用有利于保护湿地环境的生态材料和工艺。</w:t>
      </w:r>
    </w:p>
    <w:p>
      <w:pPr>
        <w:pStyle w:val="26"/>
        <w:spacing w:line="580" w:lineRule="exact"/>
        <w:ind w:firstLine="640"/>
        <w:rPr>
          <w:rFonts w:ascii="楷体_GB2312" w:eastAsia="楷体_GB2312"/>
          <w:sz w:val="32"/>
          <w:szCs w:val="32"/>
        </w:rPr>
      </w:pPr>
      <w:r>
        <w:rPr>
          <w:rFonts w:hint="eastAsia" w:ascii="楷体_GB2312" w:eastAsia="楷体_GB2312"/>
          <w:sz w:val="32"/>
          <w:szCs w:val="32"/>
        </w:rPr>
        <w:t>3.2整体性原则</w:t>
      </w:r>
    </w:p>
    <w:p>
      <w:pPr>
        <w:ind w:firstLine="640"/>
        <w:rPr>
          <w:rFonts w:ascii="仿宋_GB2312" w:cs="Times New Roman"/>
        </w:rPr>
      </w:pPr>
      <w:r>
        <w:rPr>
          <w:rFonts w:hint="eastAsia" w:ascii="仿宋_GB2312" w:cs="Times New Roman"/>
        </w:rPr>
        <w:t>应维持和恢复湿地的连续性和完整性，使湿地动植物、水环境、地形地貌等组成要素形成一个连续体，保护湿地生态系统的完整性以及维持湿地资源的稳定性。</w:t>
      </w:r>
    </w:p>
    <w:p>
      <w:pPr>
        <w:pStyle w:val="26"/>
        <w:spacing w:line="580" w:lineRule="exact"/>
        <w:ind w:firstLine="640"/>
        <w:rPr>
          <w:rFonts w:ascii="楷体_GB2312" w:eastAsia="楷体_GB2312"/>
          <w:sz w:val="32"/>
          <w:szCs w:val="32"/>
        </w:rPr>
      </w:pPr>
      <w:r>
        <w:rPr>
          <w:rFonts w:hint="eastAsia" w:ascii="楷体_GB2312" w:eastAsia="楷体_GB2312"/>
          <w:sz w:val="32"/>
          <w:szCs w:val="32"/>
        </w:rPr>
        <w:t>3.3协调性原则</w:t>
      </w:r>
    </w:p>
    <w:p>
      <w:pPr>
        <w:ind w:firstLine="640"/>
        <w:rPr>
          <w:rFonts w:ascii="仿宋_GB2312" w:cs="Times New Roman"/>
        </w:rPr>
      </w:pPr>
      <w:r>
        <w:rPr>
          <w:rFonts w:hint="eastAsia" w:ascii="仿宋_GB2312" w:cs="Times New Roman"/>
        </w:rPr>
        <w:t>湿地生态建设的整体风貌应与湿地生态特征相协调、体现自然野趣、地域特色和历史文化；应按照绿色最大化原则和健康原则、体现湿地的独特性、景观协调性、可观赏性等；优先采用生态材料和生态工艺、充分利用湿地所在地的自然材料，实现人与自然和谐。</w:t>
      </w:r>
    </w:p>
    <w:p>
      <w:pPr>
        <w:pStyle w:val="26"/>
        <w:spacing w:line="580" w:lineRule="exact"/>
        <w:ind w:firstLine="640"/>
        <w:rPr>
          <w:rFonts w:ascii="楷体_GB2312" w:eastAsia="楷体_GB2312"/>
          <w:sz w:val="32"/>
          <w:szCs w:val="32"/>
        </w:rPr>
      </w:pPr>
      <w:r>
        <w:rPr>
          <w:rFonts w:hint="eastAsia" w:ascii="楷体_GB2312" w:eastAsia="楷体_GB2312"/>
          <w:sz w:val="32"/>
          <w:szCs w:val="32"/>
        </w:rPr>
        <w:t xml:space="preserve">3.4经济性原则 </w:t>
      </w:r>
    </w:p>
    <w:p>
      <w:pPr>
        <w:ind w:firstLine="640"/>
        <w:rPr>
          <w:rFonts w:ascii="仿宋_GB2312" w:cs="Times New Roman"/>
        </w:rPr>
      </w:pPr>
      <w:r>
        <w:rPr>
          <w:rFonts w:hint="eastAsia" w:ascii="仿宋_GB2312" w:cs="Times New Roman"/>
        </w:rPr>
        <w:t>应在保证各项功能正常的前提下，尽可能降低投资成本；既要考虑到湿地生态建设费用，还要兼顾到建成后的管理和运行费用；最大限度保护现有湿地资源，合理利用湿地水资源、生物资源和矿产资源等。</w:t>
      </w:r>
    </w:p>
    <w:p>
      <w:pPr>
        <w:ind w:firstLine="640"/>
        <w:rPr>
          <w:rFonts w:ascii="黑体" w:hAnsi="黑体" w:eastAsia="黑体" w:cs="Times New Roman"/>
          <w:color w:val="000000"/>
          <w:szCs w:val="32"/>
        </w:rPr>
      </w:pPr>
      <w:bookmarkStart w:id="38" w:name="_Toc72481278"/>
      <w:r>
        <w:rPr>
          <w:rFonts w:hint="eastAsia" w:ascii="黑体" w:hAnsi="黑体" w:eastAsia="黑体" w:cs="Times New Roman"/>
          <w:color w:val="000000"/>
          <w:szCs w:val="32"/>
        </w:rPr>
        <w:t>4生态修复程序</w:t>
      </w:r>
      <w:bookmarkEnd w:id="38"/>
    </w:p>
    <w:p>
      <w:pPr>
        <w:pStyle w:val="26"/>
        <w:ind w:firstLine="0" w:firstLineChars="0"/>
        <w:jc w:val="center"/>
        <w:rPr>
          <w:rFonts w:ascii="Times New Roman" w:eastAsia="仿宋_GB2312"/>
          <w:sz w:val="32"/>
          <w:szCs w:val="32"/>
        </w:rPr>
      </w:pPr>
      <w:r>
        <w:rPr>
          <w:rFonts w:ascii="Times New Roman" w:eastAsia="仿宋_GB2312"/>
          <w:sz w:val="32"/>
          <w:szCs w:val="32"/>
        </w:rPr>
        <mc:AlternateContent>
          <mc:Choice Requires="wpg">
            <w:drawing>
              <wp:inline distT="0" distB="0" distL="0" distR="0">
                <wp:extent cx="5274310" cy="491490"/>
                <wp:effectExtent l="0" t="0" r="21590" b="22860"/>
                <wp:docPr id="2" name="组合 0"/>
                <wp:cNvGraphicFramePr/>
                <a:graphic xmlns:a="http://schemas.openxmlformats.org/drawingml/2006/main">
                  <a:graphicData uri="http://schemas.microsoft.com/office/word/2010/wordprocessingGroup">
                    <wpg:wgp>
                      <wpg:cNvGrpSpPr/>
                      <wpg:grpSpPr>
                        <a:xfrm>
                          <a:off x="0" y="0"/>
                          <a:ext cx="5274310" cy="491490"/>
                          <a:chOff x="-285784" y="1980000"/>
                          <a:chExt cx="9644098" cy="900000"/>
                        </a:xfrm>
                      </wpg:grpSpPr>
                      <wps:wsp>
                        <wps:cNvPr id="3" name="矩形 3"/>
                        <wps:cNvSpPr/>
                        <wps:spPr>
                          <a:xfrm>
                            <a:off x="-285784" y="1980000"/>
                            <a:ext cx="1620000" cy="9000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pPr>
                                <w:pStyle w:val="11"/>
                                <w:adjustRightInd w:val="0"/>
                                <w:snapToGrid w:val="0"/>
                                <w:spacing w:before="0" w:beforeAutospacing="0" w:after="0" w:afterAutospacing="0" w:line="240" w:lineRule="auto"/>
                                <w:ind w:firstLine="0" w:firstLineChars="0"/>
                                <w:jc w:val="center"/>
                                <w:rPr>
                                  <w:rFonts w:ascii="黑体" w:hAnsi="黑体" w:eastAsia="黑体" w:cstheme="minorBidi"/>
                                  <w:color w:val="000000" w:themeColor="text1"/>
                                  <w:kern w:val="24"/>
                                  <w:sz w:val="21"/>
                                  <w:szCs w:val="11"/>
                                  <w14:textFill>
                                    <w14:solidFill>
                                      <w14:schemeClr w14:val="tx1"/>
                                    </w14:solidFill>
                                  </w14:textFill>
                                </w:rPr>
                              </w:pPr>
                              <w:r>
                                <w:rPr>
                                  <w:rFonts w:hint="eastAsia" w:ascii="黑体" w:hAnsi="黑体" w:eastAsia="黑体" w:cstheme="minorBidi"/>
                                  <w:color w:val="000000" w:themeColor="text1"/>
                                  <w:kern w:val="24"/>
                                  <w:sz w:val="21"/>
                                  <w:szCs w:val="11"/>
                                  <w14:textFill>
                                    <w14:solidFill>
                                      <w14:schemeClr w14:val="tx1"/>
                                    </w14:solidFill>
                                  </w14:textFill>
                                </w:rPr>
                                <w:t>开展全面的</w:t>
                              </w:r>
                            </w:p>
                            <w:p>
                              <w:pPr>
                                <w:pStyle w:val="11"/>
                                <w:adjustRightInd w:val="0"/>
                                <w:snapToGrid w:val="0"/>
                                <w:spacing w:before="0" w:beforeAutospacing="0" w:after="0" w:afterAutospacing="0" w:line="240" w:lineRule="auto"/>
                                <w:ind w:firstLine="0" w:firstLineChars="0"/>
                                <w:jc w:val="center"/>
                                <w:rPr>
                                  <w:sz w:val="21"/>
                                  <w:szCs w:val="11"/>
                                </w:rPr>
                              </w:pPr>
                              <w:r>
                                <w:rPr>
                                  <w:rFonts w:hint="eastAsia" w:ascii="黑体" w:hAnsi="黑体" w:eastAsia="黑体" w:cstheme="minorBidi"/>
                                  <w:color w:val="000000" w:themeColor="text1"/>
                                  <w:kern w:val="24"/>
                                  <w:sz w:val="21"/>
                                  <w:szCs w:val="11"/>
                                  <w14:textFill>
                                    <w14:solidFill>
                                      <w14:schemeClr w14:val="tx1"/>
                                    </w14:solidFill>
                                  </w14:textFill>
                                </w:rPr>
                                <w:t>生态评估</w:t>
                              </w:r>
                            </w:p>
                          </w:txbxContent>
                        </wps:txbx>
                        <wps:bodyPr rtlCol="0" anchor="ctr"/>
                      </wps:wsp>
                      <wps:wsp>
                        <wps:cNvPr id="4" name="矩形 4"/>
                        <wps:cNvSpPr/>
                        <wps:spPr>
                          <a:xfrm>
                            <a:off x="1714448" y="1980000"/>
                            <a:ext cx="1620000" cy="9000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pPr>
                                <w:pStyle w:val="11"/>
                                <w:spacing w:before="0" w:beforeAutospacing="0" w:after="0" w:afterAutospacing="0" w:line="240" w:lineRule="auto"/>
                                <w:ind w:firstLine="0" w:firstLineChars="0"/>
                                <w:jc w:val="center"/>
                                <w:rPr>
                                  <w:rFonts w:ascii="黑体" w:hAnsi="黑体" w:eastAsia="黑体" w:cstheme="minorBidi"/>
                                  <w:color w:val="000000" w:themeColor="text1"/>
                                  <w:kern w:val="24"/>
                                  <w14:textFill>
                                    <w14:solidFill>
                                      <w14:schemeClr w14:val="tx1"/>
                                    </w14:solidFill>
                                  </w14:textFill>
                                </w:rPr>
                              </w:pPr>
                              <w:r>
                                <w:rPr>
                                  <w:rFonts w:hint="eastAsia" w:ascii="黑体" w:hAnsi="黑体" w:eastAsia="黑体" w:cstheme="minorBidi"/>
                                  <w:color w:val="000000" w:themeColor="text1"/>
                                  <w:kern w:val="24"/>
                                  <w14:textFill>
                                    <w14:solidFill>
                                      <w14:schemeClr w14:val="tx1"/>
                                    </w14:solidFill>
                                  </w14:textFill>
                                </w:rPr>
                                <w:t>确定</w:t>
                              </w:r>
                            </w:p>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限制因子</w:t>
                              </w:r>
                            </w:p>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限制因子</w:t>
                              </w:r>
                            </w:p>
                          </w:txbxContent>
                        </wps:txbx>
                        <wps:bodyPr rtlCol="0" anchor="ctr"/>
                      </wps:wsp>
                      <wps:wsp>
                        <wps:cNvPr id="5" name="矩形 5"/>
                        <wps:cNvSpPr/>
                        <wps:spPr>
                          <a:xfrm>
                            <a:off x="3714712" y="1980000"/>
                            <a:ext cx="1620000" cy="9000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pPr>
                                <w:pStyle w:val="11"/>
                                <w:spacing w:before="0" w:beforeAutospacing="0" w:after="0" w:afterAutospacing="0" w:line="240" w:lineRule="auto"/>
                                <w:ind w:firstLine="0" w:firstLineChars="0"/>
                                <w:jc w:val="center"/>
                                <w:rPr>
                                  <w:rFonts w:ascii="黑体" w:hAnsi="黑体" w:eastAsia="黑体" w:cstheme="minorBidi"/>
                                  <w:color w:val="000000" w:themeColor="text1"/>
                                  <w:kern w:val="24"/>
                                  <w14:textFill>
                                    <w14:solidFill>
                                      <w14:schemeClr w14:val="tx1"/>
                                    </w14:solidFill>
                                  </w14:textFill>
                                </w:rPr>
                              </w:pPr>
                              <w:r>
                                <w:rPr>
                                  <w:rFonts w:hint="eastAsia" w:ascii="黑体" w:hAnsi="黑体" w:eastAsia="黑体" w:cstheme="minorBidi"/>
                                  <w:color w:val="000000" w:themeColor="text1"/>
                                  <w:kern w:val="24"/>
                                  <w14:textFill>
                                    <w14:solidFill>
                                      <w14:schemeClr w14:val="tx1"/>
                                    </w14:solidFill>
                                  </w14:textFill>
                                </w:rPr>
                                <w:t>设定</w:t>
                              </w:r>
                            </w:p>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恢复目标</w:t>
                              </w:r>
                            </w:p>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恢复目标</w:t>
                              </w:r>
                            </w:p>
                          </w:txbxContent>
                        </wps:txbx>
                        <wps:bodyPr rtlCol="0" anchor="ctr"/>
                      </wps:wsp>
                      <wps:wsp>
                        <wps:cNvPr id="6" name="矩形 6"/>
                        <wps:cNvSpPr/>
                        <wps:spPr>
                          <a:xfrm>
                            <a:off x="5714976" y="1980000"/>
                            <a:ext cx="1620000" cy="9000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pPr>
                                <w:pStyle w:val="11"/>
                                <w:spacing w:before="0" w:beforeAutospacing="0" w:after="0" w:afterAutospacing="0" w:line="240" w:lineRule="auto"/>
                                <w:ind w:firstLine="0" w:firstLineChars="0"/>
                                <w:jc w:val="center"/>
                                <w:rPr>
                                  <w:sz w:val="21"/>
                                  <w:szCs w:val="21"/>
                                </w:rPr>
                              </w:pPr>
                              <w:r>
                                <w:rPr>
                                  <w:rFonts w:hint="eastAsia" w:ascii="黑体" w:hAnsi="黑体" w:eastAsia="黑体" w:cstheme="minorBidi"/>
                                  <w:color w:val="000000" w:themeColor="text1"/>
                                  <w:kern w:val="24"/>
                                  <w:sz w:val="21"/>
                                  <w:szCs w:val="21"/>
                                  <w14:textFill>
                                    <w14:solidFill>
                                      <w14:schemeClr w14:val="tx1"/>
                                    </w14:solidFill>
                                  </w14:textFill>
                                </w:rPr>
                                <w:t>确定恢复</w:t>
                              </w:r>
                            </w:p>
                            <w:p>
                              <w:pPr>
                                <w:pStyle w:val="11"/>
                                <w:spacing w:before="0" w:beforeAutospacing="0" w:after="0" w:afterAutospacing="0" w:line="240" w:lineRule="auto"/>
                                <w:ind w:firstLine="0" w:firstLineChars="0"/>
                                <w:jc w:val="center"/>
                                <w:rPr>
                                  <w:sz w:val="21"/>
                                  <w:szCs w:val="21"/>
                                </w:rPr>
                              </w:pPr>
                              <w:r>
                                <w:rPr>
                                  <w:rFonts w:hint="eastAsia" w:ascii="黑体" w:hAnsi="黑体" w:eastAsia="黑体" w:cstheme="minorBidi"/>
                                  <w:color w:val="000000" w:themeColor="text1"/>
                                  <w:kern w:val="24"/>
                                  <w:sz w:val="21"/>
                                  <w:szCs w:val="21"/>
                                  <w14:textFill>
                                    <w14:solidFill>
                                      <w14:schemeClr w14:val="tx1"/>
                                    </w14:solidFill>
                                  </w14:textFill>
                                </w:rPr>
                                <w:t>内容和技术</w:t>
                              </w:r>
                            </w:p>
                          </w:txbxContent>
                        </wps:txbx>
                        <wps:bodyPr rtlCol="0" anchor="ctr"/>
                      </wps:wsp>
                      <wps:wsp>
                        <wps:cNvPr id="7" name="矩形 7"/>
                        <wps:cNvSpPr/>
                        <wps:spPr>
                          <a:xfrm>
                            <a:off x="7738314" y="1980000"/>
                            <a:ext cx="1620000" cy="9000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监测评估</w:t>
                              </w:r>
                            </w:p>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恢复效果</w:t>
                              </w:r>
                            </w:p>
                          </w:txbxContent>
                        </wps:txbx>
                        <wps:bodyPr rtlCol="0" anchor="ctr"/>
                      </wps:wsp>
                      <wps:wsp>
                        <wps:cNvPr id="8" name="右箭头 10"/>
                        <wps:cNvSpPr/>
                        <wps:spPr>
                          <a:xfrm>
                            <a:off x="1357290" y="2357430"/>
                            <a:ext cx="357190" cy="14287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 name="右箭头 11"/>
                        <wps:cNvSpPr/>
                        <wps:spPr>
                          <a:xfrm>
                            <a:off x="3357554" y="2357430"/>
                            <a:ext cx="357190" cy="14287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 name="右箭头 12"/>
                        <wps:cNvSpPr/>
                        <wps:spPr>
                          <a:xfrm>
                            <a:off x="5357818" y="2357430"/>
                            <a:ext cx="357190" cy="14287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 name="右箭头 13"/>
                        <wps:cNvSpPr/>
                        <wps:spPr>
                          <a:xfrm>
                            <a:off x="7358082" y="2357430"/>
                            <a:ext cx="357190" cy="14287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inline>
            </w:drawing>
          </mc:Choice>
          <mc:Fallback>
            <w:pict>
              <v:group id="组合 0" o:spid="_x0000_s1026" o:spt="203" style="height:38.7pt;width:415.3pt;" coordorigin="-285784,1980000" coordsize="9644098,900000" o:gfxdata="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">
                <o:lock v:ext="edit" aspectratio="f"/>
                <v:rect id="_x0000_s1026" o:spid="_x0000_s1026" o:spt="1" style="position:absolute;left:-285784;top:1980000;height:900000;width:1620000;v-text-anchor:middle;" filled="f" stroked="t" coordsize="21600,21600" o:gfxdata="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G3OnvQAA&#10;ANoAAAAPAAAAAAAAAAEAIAAAACIAAABkcnMvZG93bnJldi54bWxQSwECFAAUAAAACACHTuJAMy8F&#10;njsAAAA5AAAAEAAAAAAAAAABACAAAAAMAQAAZHJzL3NoYXBleG1sLnhtbFBLBQYAAAAABgAGAFsB&#10;AAC2AwAAAAA=&#10;">
                  <v:fill on="f" focussize="0,0"/>
                  <v:stroke weight="1pt" color="#2F528F [3204]" miterlimit="8" joinstyle="miter"/>
                  <v:imagedata o:title=""/>
                  <o:lock v:ext="edit" aspectratio="f"/>
                  <v:textbox>
                    <w:txbxContent>
                      <w:p>
                        <w:pPr>
                          <w:pStyle w:val="11"/>
                          <w:adjustRightInd w:val="0"/>
                          <w:snapToGrid w:val="0"/>
                          <w:spacing w:before="0" w:beforeAutospacing="0" w:after="0" w:afterAutospacing="0" w:line="240" w:lineRule="auto"/>
                          <w:ind w:firstLine="0" w:firstLineChars="0"/>
                          <w:jc w:val="center"/>
                          <w:rPr>
                            <w:rFonts w:ascii="黑体" w:hAnsi="黑体" w:eastAsia="黑体" w:cstheme="minorBidi"/>
                            <w:color w:val="000000" w:themeColor="text1"/>
                            <w:kern w:val="24"/>
                            <w:sz w:val="21"/>
                            <w:szCs w:val="11"/>
                            <w14:textFill>
                              <w14:solidFill>
                                <w14:schemeClr w14:val="tx1"/>
                              </w14:solidFill>
                            </w14:textFill>
                          </w:rPr>
                        </w:pPr>
                        <w:r>
                          <w:rPr>
                            <w:rFonts w:hint="eastAsia" w:ascii="黑体" w:hAnsi="黑体" w:eastAsia="黑体" w:cstheme="minorBidi"/>
                            <w:color w:val="000000" w:themeColor="text1"/>
                            <w:kern w:val="24"/>
                            <w:sz w:val="21"/>
                            <w:szCs w:val="11"/>
                            <w14:textFill>
                              <w14:solidFill>
                                <w14:schemeClr w14:val="tx1"/>
                              </w14:solidFill>
                            </w14:textFill>
                          </w:rPr>
                          <w:t>开展全面的</w:t>
                        </w:r>
                      </w:p>
                      <w:p>
                        <w:pPr>
                          <w:pStyle w:val="11"/>
                          <w:adjustRightInd w:val="0"/>
                          <w:snapToGrid w:val="0"/>
                          <w:spacing w:before="0" w:beforeAutospacing="0" w:after="0" w:afterAutospacing="0" w:line="240" w:lineRule="auto"/>
                          <w:ind w:firstLine="0" w:firstLineChars="0"/>
                          <w:jc w:val="center"/>
                          <w:rPr>
                            <w:sz w:val="21"/>
                            <w:szCs w:val="11"/>
                          </w:rPr>
                        </w:pPr>
                        <w:r>
                          <w:rPr>
                            <w:rFonts w:hint="eastAsia" w:ascii="黑体" w:hAnsi="黑体" w:eastAsia="黑体" w:cstheme="minorBidi"/>
                            <w:color w:val="000000" w:themeColor="text1"/>
                            <w:kern w:val="24"/>
                            <w:sz w:val="21"/>
                            <w:szCs w:val="11"/>
                            <w14:textFill>
                              <w14:solidFill>
                                <w14:schemeClr w14:val="tx1"/>
                              </w14:solidFill>
                            </w14:textFill>
                          </w:rPr>
                          <w:t>生态评估</w:t>
                        </w:r>
                      </w:p>
                    </w:txbxContent>
                  </v:textbox>
                </v:rect>
                <v:rect id="_x0000_s1026" o:spid="_x0000_s1026" o:spt="1" style="position:absolute;left:1714448;top:1980000;height:900000;width:1620000;v-text-anchor:middle;" filled="f" stroked="t" coordsize="21600,21600" o:gfxdata="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8uvTvQAA&#10;ANoAAAAPAAAAAAAAAAEAIAAAACIAAABkcnMvZG93bnJldi54bWxQSwECFAAUAAAACACHTuJAMy8F&#10;njsAAAA5AAAAEAAAAAAAAAABACAAAAAMAQAAZHJzL3NoYXBleG1sLnhtbFBLBQYAAAAABgAGAFsB&#10;AAC2AwAAAAA=&#10;">
                  <v:fill on="f" focussize="0,0"/>
                  <v:stroke weight="1pt" color="#2F528F [3204]" miterlimit="8" joinstyle="miter"/>
                  <v:imagedata o:title=""/>
                  <o:lock v:ext="edit" aspectratio="f"/>
                  <v:textbox>
                    <w:txbxContent>
                      <w:p>
                        <w:pPr>
                          <w:pStyle w:val="11"/>
                          <w:spacing w:before="0" w:beforeAutospacing="0" w:after="0" w:afterAutospacing="0" w:line="240" w:lineRule="auto"/>
                          <w:ind w:firstLine="0" w:firstLineChars="0"/>
                          <w:jc w:val="center"/>
                          <w:rPr>
                            <w:rFonts w:ascii="黑体" w:hAnsi="黑体" w:eastAsia="黑体" w:cstheme="minorBidi"/>
                            <w:color w:val="000000" w:themeColor="text1"/>
                            <w:kern w:val="24"/>
                            <w14:textFill>
                              <w14:solidFill>
                                <w14:schemeClr w14:val="tx1"/>
                              </w14:solidFill>
                            </w14:textFill>
                          </w:rPr>
                        </w:pPr>
                        <w:r>
                          <w:rPr>
                            <w:rFonts w:hint="eastAsia" w:ascii="黑体" w:hAnsi="黑体" w:eastAsia="黑体" w:cstheme="minorBidi"/>
                            <w:color w:val="000000" w:themeColor="text1"/>
                            <w:kern w:val="24"/>
                            <w14:textFill>
                              <w14:solidFill>
                                <w14:schemeClr w14:val="tx1"/>
                              </w14:solidFill>
                            </w14:textFill>
                          </w:rPr>
                          <w:t>确定</w:t>
                        </w:r>
                      </w:p>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限制因子</w:t>
                        </w:r>
                      </w:p>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限制因子</w:t>
                        </w:r>
                      </w:p>
                    </w:txbxContent>
                  </v:textbox>
                </v:rect>
                <v:rect id="_x0000_s1026" o:spid="_x0000_s1026" o:spt="1" style="position:absolute;left:3714712;top:1980000;height:900000;width:1620000;v-text-anchor:middle;" filled="f" stroked="t" coordsize="21600,21600" o:gfxdata="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b5OSL4A&#10;AADaAAAADwAAAAAAAAABACAAAAAiAAAAZHJzL2Rvd25yZXYueG1sUEsBAhQAFAAAAAgAh07iQDMv&#10;BZ47AAAAOQAAABAAAAAAAAAAAQAgAAAADQEAAGRycy9zaGFwZXhtbC54bWxQSwUGAAAAAAYABgBb&#10;AQAAtwMAAAAA&#10;">
                  <v:fill on="f" focussize="0,0"/>
                  <v:stroke weight="1pt" color="#2F528F [3204]" miterlimit="8" joinstyle="miter"/>
                  <v:imagedata o:title=""/>
                  <o:lock v:ext="edit" aspectratio="f"/>
                  <v:textbox>
                    <w:txbxContent>
                      <w:p>
                        <w:pPr>
                          <w:pStyle w:val="11"/>
                          <w:spacing w:before="0" w:beforeAutospacing="0" w:after="0" w:afterAutospacing="0" w:line="240" w:lineRule="auto"/>
                          <w:ind w:firstLine="0" w:firstLineChars="0"/>
                          <w:jc w:val="center"/>
                          <w:rPr>
                            <w:rFonts w:ascii="黑体" w:hAnsi="黑体" w:eastAsia="黑体" w:cstheme="minorBidi"/>
                            <w:color w:val="000000" w:themeColor="text1"/>
                            <w:kern w:val="24"/>
                            <w14:textFill>
                              <w14:solidFill>
                                <w14:schemeClr w14:val="tx1"/>
                              </w14:solidFill>
                            </w14:textFill>
                          </w:rPr>
                        </w:pPr>
                        <w:r>
                          <w:rPr>
                            <w:rFonts w:hint="eastAsia" w:ascii="黑体" w:hAnsi="黑体" w:eastAsia="黑体" w:cstheme="minorBidi"/>
                            <w:color w:val="000000" w:themeColor="text1"/>
                            <w:kern w:val="24"/>
                            <w14:textFill>
                              <w14:solidFill>
                                <w14:schemeClr w14:val="tx1"/>
                              </w14:solidFill>
                            </w14:textFill>
                          </w:rPr>
                          <w:t>设定</w:t>
                        </w:r>
                      </w:p>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恢复目标</w:t>
                        </w:r>
                      </w:p>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恢复目标</w:t>
                        </w:r>
                      </w:p>
                    </w:txbxContent>
                  </v:textbox>
                </v:rect>
                <v:rect id="_x0000_s1026" o:spid="_x0000_s1026" o:spt="1" style="position:absolute;left:5714976;top:1980000;height:900000;width:1620000;v-text-anchor:middle;" filled="f" stroked="t" coordsize="21600,21600" o:gfxdata="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bNA/vQAA&#10;ANoAAAAPAAAAAAAAAAEAIAAAACIAAABkcnMvZG93bnJldi54bWxQSwECFAAUAAAACACHTuJAMy8F&#10;njsAAAA5AAAAEAAAAAAAAAABACAAAAAMAQAAZHJzL3NoYXBleG1sLnhtbFBLBQYAAAAABgAGAFsB&#10;AAC2AwAAAAA=&#10;">
                  <v:fill on="f" focussize="0,0"/>
                  <v:stroke weight="1pt" color="#2F528F [3204]" miterlimit="8" joinstyle="miter"/>
                  <v:imagedata o:title=""/>
                  <o:lock v:ext="edit" aspectratio="f"/>
                  <v:textbox>
                    <w:txbxContent>
                      <w:p>
                        <w:pPr>
                          <w:pStyle w:val="11"/>
                          <w:spacing w:before="0" w:beforeAutospacing="0" w:after="0" w:afterAutospacing="0" w:line="240" w:lineRule="auto"/>
                          <w:ind w:firstLine="0" w:firstLineChars="0"/>
                          <w:jc w:val="center"/>
                          <w:rPr>
                            <w:sz w:val="21"/>
                            <w:szCs w:val="21"/>
                          </w:rPr>
                        </w:pPr>
                        <w:r>
                          <w:rPr>
                            <w:rFonts w:hint="eastAsia" w:ascii="黑体" w:hAnsi="黑体" w:eastAsia="黑体" w:cstheme="minorBidi"/>
                            <w:color w:val="000000" w:themeColor="text1"/>
                            <w:kern w:val="24"/>
                            <w:sz w:val="21"/>
                            <w:szCs w:val="21"/>
                            <w14:textFill>
                              <w14:solidFill>
                                <w14:schemeClr w14:val="tx1"/>
                              </w14:solidFill>
                            </w14:textFill>
                          </w:rPr>
                          <w:t>确定恢复</w:t>
                        </w:r>
                      </w:p>
                      <w:p>
                        <w:pPr>
                          <w:pStyle w:val="11"/>
                          <w:spacing w:before="0" w:beforeAutospacing="0" w:after="0" w:afterAutospacing="0" w:line="240" w:lineRule="auto"/>
                          <w:ind w:firstLine="0" w:firstLineChars="0"/>
                          <w:jc w:val="center"/>
                          <w:rPr>
                            <w:sz w:val="21"/>
                            <w:szCs w:val="21"/>
                          </w:rPr>
                        </w:pPr>
                        <w:r>
                          <w:rPr>
                            <w:rFonts w:hint="eastAsia" w:ascii="黑体" w:hAnsi="黑体" w:eastAsia="黑体" w:cstheme="minorBidi"/>
                            <w:color w:val="000000" w:themeColor="text1"/>
                            <w:kern w:val="24"/>
                            <w:sz w:val="21"/>
                            <w:szCs w:val="21"/>
                            <w14:textFill>
                              <w14:solidFill>
                                <w14:schemeClr w14:val="tx1"/>
                              </w14:solidFill>
                            </w14:textFill>
                          </w:rPr>
                          <w:t>内容和技术</w:t>
                        </w:r>
                      </w:p>
                    </w:txbxContent>
                  </v:textbox>
                </v:rect>
                <v:rect id="_x0000_s1026" o:spid="_x0000_s1026" o:spt="1" style="position:absolute;left:7738314;top:1980000;height:900000;width:1620000;v-text-anchor:middle;" filled="f" stroked="t" coordsize="21600,21600" o:gfxdata="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iB1pL4A&#10;AADaAAAADwAAAAAAAAABACAAAAAiAAAAZHJzL2Rvd25yZXYueG1sUEsBAhQAFAAAAAgAh07iQDMv&#10;BZ47AAAAOQAAABAAAAAAAAAAAQAgAAAADQEAAGRycy9zaGFwZXhtbC54bWxQSwUGAAAAAAYABgBb&#10;AQAAtwMAAAAA&#10;">
                  <v:fill on="f" focussize="0,0"/>
                  <v:stroke weight="1pt" color="#2F528F [3204]" miterlimit="8" joinstyle="miter"/>
                  <v:imagedata o:title=""/>
                  <o:lock v:ext="edit" aspectratio="f"/>
                  <v:textbox>
                    <w:txbxContent>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监测评估</w:t>
                        </w:r>
                      </w:p>
                      <w:p>
                        <w:pPr>
                          <w:pStyle w:val="11"/>
                          <w:spacing w:before="0" w:beforeAutospacing="0" w:after="0" w:afterAutospacing="0" w:line="240" w:lineRule="auto"/>
                          <w:ind w:firstLine="0" w:firstLineChars="0"/>
                          <w:jc w:val="center"/>
                        </w:pPr>
                        <w:r>
                          <w:rPr>
                            <w:rFonts w:hint="eastAsia" w:ascii="黑体" w:hAnsi="黑体" w:eastAsia="黑体" w:cstheme="minorBidi"/>
                            <w:color w:val="000000" w:themeColor="text1"/>
                            <w:kern w:val="24"/>
                            <w14:textFill>
                              <w14:solidFill>
                                <w14:schemeClr w14:val="tx1"/>
                              </w14:solidFill>
                            </w14:textFill>
                          </w:rPr>
                          <w:t>恢复效果</w:t>
                        </w:r>
                      </w:p>
                    </w:txbxContent>
                  </v:textbox>
                </v:rect>
                <v:shape id="右箭头 10" o:spid="_x0000_s1026" o:spt="13" type="#_x0000_t13" style="position:absolute;left:1357290;top:2357430;height:142876;width:357190;v-text-anchor:middle;" fillcolor="#4472C4 [3204]" filled="t" stroked="t" coordsize="21600,21600" o:gfxdata="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5T97C5AAAA2gAA&#10;AA8AAAAAAAAAAQAgAAAAIgAAAGRycy9kb3ducmV2LnhtbFBLAQIUABQAAAAIAIdO4kAzLwWeOwAA&#10;ADkAAAAQAAAAAAAAAAEAIAAAAAgBAABkcnMvc2hhcGV4bWwueG1sUEsFBgAAAAAGAAYAWwEAALID&#10;AAAAAA==&#10;" adj="17280,5400">
                  <v:fill on="t" focussize="0,0"/>
                  <v:stroke weight="1pt" color="#2F528F [3204]" miterlimit="8" joinstyle="miter"/>
                  <v:imagedata o:title=""/>
                  <o:lock v:ext="edit" aspectratio="f"/>
                </v:shape>
                <v:shape id="右箭头 11" o:spid="_x0000_s1026" o:spt="13" type="#_x0000_t13" style="position:absolute;left:3357554;top:2357430;height:142876;width:357190;v-text-anchor:middle;" fillcolor="#4472C4 [3204]" filled="t" stroked="t" coordsize="21600,21600" o:gfxdata="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H1IrvQAA&#10;ANoAAAAPAAAAAAAAAAEAIAAAACIAAABkcnMvZG93bnJldi54bWxQSwECFAAUAAAACACHTuJAMy8F&#10;njsAAAA5AAAAEAAAAAAAAAABACAAAAAMAQAAZHJzL3NoYXBleG1sLnhtbFBLBQYAAAAABgAGAFsB&#10;AAC2AwAAAAA=&#10;" adj="17280,5400">
                  <v:fill on="t" focussize="0,0"/>
                  <v:stroke weight="1pt" color="#2F528F [3204]" miterlimit="8" joinstyle="miter"/>
                  <v:imagedata o:title=""/>
                  <o:lock v:ext="edit" aspectratio="f"/>
                </v:shape>
                <v:shape id="右箭头 12" o:spid="_x0000_s1026" o:spt="13" type="#_x0000_t13" style="position:absolute;left:5357818;top:2357430;height:142876;width:357190;v-text-anchor:middle;" fillcolor="#4472C4 [3204]" filled="t" stroked="t" coordsize="21600,21600" o:gfxdata="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1gR/74A&#10;AADbAAAADwAAAAAAAAABACAAAAAiAAAAZHJzL2Rvd25yZXYueG1sUEsBAhQAFAAAAAgAh07iQDMv&#10;BZ47AAAAOQAAABAAAAAAAAAAAQAgAAAADQEAAGRycy9zaGFwZXhtbC54bWxQSwUGAAAAAAYABgBb&#10;AQAAtwMAAAAA&#10;" adj="17280,5400">
                  <v:fill on="t" focussize="0,0"/>
                  <v:stroke weight="1pt" color="#2F528F [3204]" miterlimit="8" joinstyle="miter"/>
                  <v:imagedata o:title=""/>
                  <o:lock v:ext="edit" aspectratio="f"/>
                </v:shape>
                <v:shape id="右箭头 13" o:spid="_x0000_s1026" o:spt="13" type="#_x0000_t13" style="position:absolute;left:7358082;top:2357430;height:142876;width:357190;v-text-anchor:middle;" fillcolor="#4472C4 [3204]" filled="t" stroked="t" coordsize="21600,21600" o:gfxdata="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BS0ZLsAAADb&#10;AAAADwAAAAAAAAABACAAAAAiAAAAZHJzL2Rvd25yZXYueG1sUEsBAhQAFAAAAAgAh07iQDMvBZ47&#10;AAAAOQAAABAAAAAAAAAAAQAgAAAACgEAAGRycy9zaGFwZXhtbC54bWxQSwUGAAAAAAYABgBbAQAA&#10;tAMAAAAA&#10;" adj="17280,5400">
                  <v:fill on="t" focussize="0,0"/>
                  <v:stroke weight="1pt" color="#2F528F [3204]" miterlimit="8" joinstyle="miter"/>
                  <v:imagedata o:title=""/>
                  <o:lock v:ext="edit" aspectratio="f"/>
                </v:shape>
                <w10:wrap type="none"/>
                <w10:anchorlock/>
              </v:group>
            </w:pict>
          </mc:Fallback>
        </mc:AlternateContent>
      </w:r>
    </w:p>
    <w:p>
      <w:pPr>
        <w:spacing w:line="360" w:lineRule="auto"/>
        <w:ind w:firstLine="640"/>
        <w:jc w:val="left"/>
        <w:rPr>
          <w:rFonts w:ascii="黑体" w:hAnsi="黑体" w:eastAsia="黑体" w:cs="Times New Roman"/>
          <w:color w:val="000000"/>
          <w:szCs w:val="32"/>
        </w:rPr>
      </w:pPr>
      <w:bookmarkStart w:id="39" w:name="_Toc72481279"/>
      <w:r>
        <w:rPr>
          <w:rFonts w:ascii="黑体" w:hAnsi="黑体" w:eastAsia="黑体" w:cs="Times New Roman"/>
          <w:color w:val="000000"/>
          <w:szCs w:val="32"/>
        </w:rPr>
        <w:t>5</w:t>
      </w:r>
      <w:r>
        <w:rPr>
          <w:rFonts w:hint="eastAsia" w:ascii="黑体" w:hAnsi="黑体" w:eastAsia="黑体" w:cs="Times New Roman"/>
          <w:color w:val="000000"/>
          <w:szCs w:val="32"/>
        </w:rPr>
        <w:t>生态修复内容</w:t>
      </w:r>
      <w:bookmarkEnd w:id="39"/>
    </w:p>
    <w:p>
      <w:pPr>
        <w:ind w:firstLine="640"/>
        <w:rPr>
          <w:rFonts w:ascii="楷体_GB2312" w:eastAsia="楷体_GB2312" w:cs="Times New Roman"/>
          <w:szCs w:val="32"/>
        </w:rPr>
      </w:pPr>
      <w:r>
        <w:rPr>
          <w:rFonts w:hint="eastAsia" w:ascii="楷体_GB2312" w:eastAsia="楷体_GB2312" w:cs="Times New Roman"/>
          <w:szCs w:val="32"/>
        </w:rPr>
        <w:t>5.1水系修复</w:t>
      </w:r>
    </w:p>
    <w:p>
      <w:pPr>
        <w:ind w:firstLine="640"/>
        <w:rPr>
          <w:rFonts w:ascii="仿宋_GB2312" w:cs="Times New Roman"/>
        </w:rPr>
      </w:pPr>
      <w:r>
        <w:rPr>
          <w:rFonts w:hint="eastAsia" w:ascii="仿宋_GB2312" w:cs="Times New Roman"/>
        </w:rPr>
        <w:t>通过退耕退建还湿、退渔还湿、地形改造等工程，采用自然或生态的措施来恢复被侵占和填埋的湿地，恢复与外界联接的自然水系。</w:t>
      </w:r>
    </w:p>
    <w:p>
      <w:pPr>
        <w:ind w:firstLine="640"/>
        <w:rPr>
          <w:rFonts w:ascii="楷体_GB2312" w:eastAsia="楷体_GB2312" w:cs="Times New Roman"/>
          <w:szCs w:val="32"/>
        </w:rPr>
      </w:pPr>
      <w:r>
        <w:rPr>
          <w:rFonts w:hint="eastAsia" w:ascii="楷体_GB2312" w:eastAsia="楷体_GB2312" w:cs="Times New Roman"/>
          <w:szCs w:val="32"/>
        </w:rPr>
        <w:t>5.2基质修复</w:t>
      </w:r>
    </w:p>
    <w:p>
      <w:pPr>
        <w:ind w:firstLine="640"/>
        <w:rPr>
          <w:rFonts w:ascii="仿宋_GB2312" w:cs="Times New Roman"/>
        </w:rPr>
      </w:pPr>
      <w:r>
        <w:rPr>
          <w:rFonts w:hint="eastAsia" w:ascii="仿宋_GB2312" w:cs="Times New Roman"/>
        </w:rPr>
        <w:t>通过湿地基质改良、基质清除和基质再造等方法，恢复基质具有的固定植物、保持水分、供给氧气、提供营养及缓冲作用。</w:t>
      </w:r>
    </w:p>
    <w:p>
      <w:pPr>
        <w:ind w:firstLine="640"/>
        <w:rPr>
          <w:rFonts w:ascii="楷体_GB2312" w:eastAsia="楷体_GB2312" w:cs="Times New Roman"/>
          <w:szCs w:val="32"/>
        </w:rPr>
      </w:pPr>
      <w:r>
        <w:rPr>
          <w:rFonts w:hint="eastAsia" w:ascii="楷体_GB2312" w:eastAsia="楷体_GB2312" w:cs="Times New Roman"/>
          <w:szCs w:val="32"/>
        </w:rPr>
        <w:t>5.3生物多样性恢复</w:t>
      </w:r>
    </w:p>
    <w:p>
      <w:pPr>
        <w:ind w:firstLine="640"/>
        <w:rPr>
          <w:rFonts w:ascii="仿宋_GB2312" w:cs="Times New Roman"/>
        </w:rPr>
      </w:pPr>
      <w:r>
        <w:rPr>
          <w:rFonts w:hint="eastAsia" w:ascii="仿宋_GB2312" w:cs="Times New Roman"/>
        </w:rPr>
        <w:t>根据资源调查确定适宜湿地生境的各种鸟类、鱼类、两栖类、爬行类、甲壳类以及小型哺乳动物等野生动物和湿生、水生植物群落，运用生态学相关理论，开展湿地生物多样性恢复。</w:t>
      </w:r>
    </w:p>
    <w:p>
      <w:pPr>
        <w:ind w:firstLine="640"/>
        <w:rPr>
          <w:rFonts w:ascii="黑体" w:hAnsi="黑体" w:eastAsia="黑体" w:cs="Times New Roman"/>
          <w:color w:val="000000"/>
          <w:szCs w:val="32"/>
        </w:rPr>
      </w:pPr>
      <w:bookmarkStart w:id="40" w:name="_Toc72481280"/>
      <w:r>
        <w:rPr>
          <w:rFonts w:hint="eastAsia" w:ascii="黑体" w:hAnsi="黑体" w:eastAsia="黑体" w:cs="Times New Roman"/>
          <w:color w:val="000000"/>
          <w:szCs w:val="32"/>
        </w:rPr>
        <w:t>6生态修复技术</w:t>
      </w:r>
      <w:bookmarkEnd w:id="40"/>
    </w:p>
    <w:p>
      <w:pPr>
        <w:ind w:firstLine="640"/>
        <w:rPr>
          <w:rFonts w:ascii="楷体_GB2312" w:eastAsia="楷体_GB2312" w:cs="Times New Roman"/>
          <w:szCs w:val="32"/>
        </w:rPr>
      </w:pPr>
      <w:r>
        <w:rPr>
          <w:rFonts w:hint="eastAsia" w:ascii="楷体_GB2312" w:eastAsia="楷体_GB2312" w:cs="Times New Roman"/>
          <w:szCs w:val="32"/>
        </w:rPr>
        <w:t>6.1水系修复技术</w:t>
      </w:r>
    </w:p>
    <w:p>
      <w:pPr>
        <w:ind w:firstLine="640"/>
        <w:rPr>
          <w:rFonts w:ascii="仿宋_GB2312" w:cs="Times New Roman"/>
        </w:rPr>
      </w:pPr>
      <w:r>
        <w:rPr>
          <w:rFonts w:hint="eastAsia" w:ascii="仿宋_GB2312" w:cs="Times New Roman"/>
        </w:rPr>
        <w:t>主要包括扩挖小水面、沟通小水面、局部深挖、区域滞水、水位调控和生态补水等技术：</w:t>
      </w:r>
    </w:p>
    <w:p>
      <w:pPr>
        <w:ind w:firstLine="640"/>
        <w:rPr>
          <w:rFonts w:ascii="仿宋_GB2312" w:cs="Times New Roman"/>
        </w:rPr>
      </w:pPr>
      <w:r>
        <w:rPr>
          <w:rFonts w:hint="eastAsia" w:ascii="仿宋_GB2312" w:cs="Times New Roman"/>
        </w:rPr>
        <w:t>（1）扩挖小水面是对过小水面的岸边进行挖掘，扩大水面浸润区域，增加淹水面积。</w:t>
      </w:r>
    </w:p>
    <w:p>
      <w:pPr>
        <w:ind w:firstLine="640"/>
        <w:rPr>
          <w:rFonts w:ascii="仿宋_GB2312" w:cs="Times New Roman"/>
        </w:rPr>
      </w:pPr>
      <w:r>
        <w:rPr>
          <w:rFonts w:hint="eastAsia" w:ascii="仿宋_GB2312" w:cs="Times New Roman"/>
        </w:rPr>
        <w:t>（2）沟通小水面是通过对相邻的过小水面进行连通，增强水体间自然渗透，增加水体联通性和稳定性。</w:t>
      </w:r>
    </w:p>
    <w:p>
      <w:pPr>
        <w:ind w:firstLine="640"/>
        <w:rPr>
          <w:rFonts w:ascii="仿宋_GB2312" w:cs="Times New Roman"/>
        </w:rPr>
      </w:pPr>
      <w:r>
        <w:rPr>
          <w:rFonts w:hint="eastAsia" w:ascii="仿宋_GB2312" w:cs="Times New Roman"/>
        </w:rPr>
        <w:t>（3）局部深挖是对水体较浅的区域进行局部深挖，增强垂直方向的水文联通，增加湿地局部水量。</w:t>
      </w:r>
    </w:p>
    <w:p>
      <w:pPr>
        <w:ind w:firstLine="640"/>
        <w:rPr>
          <w:rFonts w:ascii="仿宋_GB2312" w:cs="Times New Roman"/>
        </w:rPr>
      </w:pPr>
      <w:r>
        <w:rPr>
          <w:rFonts w:hint="eastAsia" w:ascii="仿宋_GB2312" w:cs="Times New Roman"/>
        </w:rPr>
        <w:t>（4）区域滞水是在区域下游地带修建小型滞水、留水设施，控制水的流失，增加区域水体面积以及水量的稳定性。</w:t>
      </w:r>
    </w:p>
    <w:p>
      <w:pPr>
        <w:ind w:firstLine="640"/>
        <w:rPr>
          <w:rFonts w:ascii="仿宋_GB2312" w:cs="Times New Roman"/>
        </w:rPr>
      </w:pPr>
      <w:r>
        <w:rPr>
          <w:rFonts w:hint="eastAsia" w:ascii="仿宋_GB2312" w:cs="Times New Roman"/>
        </w:rPr>
        <w:t>（5）水位调控是为保证湿地涵养水源、生态保护、生物多样性保护等某项功能的正常发挥，将水位控制在一定围内。</w:t>
      </w:r>
    </w:p>
    <w:p>
      <w:pPr>
        <w:ind w:firstLine="640"/>
        <w:rPr>
          <w:rFonts w:ascii="仿宋_GB2312" w:cs="Times New Roman"/>
        </w:rPr>
      </w:pPr>
      <w:r>
        <w:rPr>
          <w:rFonts w:hint="eastAsia" w:ascii="仿宋_GB2312" w:cs="Times New Roman"/>
        </w:rPr>
        <w:t>（6）生态补水是当湿地水文条件遭到破坏，生态功能退化时开展的有计划补水措施。</w:t>
      </w:r>
    </w:p>
    <w:p>
      <w:pPr>
        <w:ind w:firstLine="640"/>
        <w:rPr>
          <w:rFonts w:ascii="楷体_GB2312" w:eastAsia="楷体_GB2312" w:cs="Times New Roman"/>
          <w:szCs w:val="32"/>
        </w:rPr>
      </w:pPr>
      <w:r>
        <w:rPr>
          <w:rFonts w:hint="eastAsia" w:ascii="楷体_GB2312" w:eastAsia="楷体_GB2312" w:cs="Times New Roman"/>
          <w:szCs w:val="32"/>
        </w:rPr>
        <w:t>6.2基质修复技术</w:t>
      </w:r>
    </w:p>
    <w:p>
      <w:pPr>
        <w:ind w:firstLine="640"/>
        <w:rPr>
          <w:rFonts w:ascii="仿宋_GB2312" w:cs="Times New Roman"/>
        </w:rPr>
      </w:pPr>
      <w:r>
        <w:rPr>
          <w:rFonts w:hint="eastAsia" w:ascii="仿宋_GB2312" w:cs="Times New Roman"/>
        </w:rPr>
        <w:t>（1）基质改良：包括物理改良（添加有机改良物）、化学改良（施肥、使用化学改良剂和开展化学淋洗）和生物改良（植物、微生物和土壤动物改良）。</w:t>
      </w:r>
    </w:p>
    <w:p>
      <w:pPr>
        <w:ind w:firstLine="640"/>
        <w:rPr>
          <w:rFonts w:ascii="仿宋_GB2312" w:cs="Times New Roman"/>
        </w:rPr>
      </w:pPr>
      <w:r>
        <w:rPr>
          <w:rFonts w:hint="eastAsia" w:ascii="仿宋_GB2312" w:cs="Times New Roman"/>
        </w:rPr>
        <w:t>（2）基质清除：包括机械清除法（泵抽吸、清除机和清除船清除）、基质固化法（施用人工或自然固化剂）和基质覆盖法（铺设清洁物质）。</w:t>
      </w:r>
    </w:p>
    <w:p>
      <w:pPr>
        <w:ind w:firstLine="640"/>
        <w:rPr>
          <w:rFonts w:ascii="仿宋_GB2312" w:cs="Times New Roman"/>
        </w:rPr>
      </w:pPr>
      <w:r>
        <w:rPr>
          <w:rFonts w:hint="eastAsia" w:ascii="仿宋_GB2312" w:cs="Times New Roman"/>
        </w:rPr>
        <w:t>（3）基质再造：在地形恢复的基础上，通过分层回填壤质土、种植坑回填壤质土和种植槽回填壤质土再造一层人工的基质，达到湿地生物繁殖、生长和栖息的要求。</w:t>
      </w:r>
    </w:p>
    <w:p>
      <w:pPr>
        <w:ind w:firstLine="640"/>
        <w:rPr>
          <w:rFonts w:ascii="楷体_GB2312" w:eastAsia="楷体_GB2312" w:cs="Times New Roman"/>
          <w:szCs w:val="32"/>
        </w:rPr>
      </w:pPr>
      <w:r>
        <w:rPr>
          <w:rFonts w:hint="eastAsia" w:ascii="楷体_GB2312" w:eastAsia="楷体_GB2312" w:cs="Times New Roman"/>
          <w:szCs w:val="32"/>
        </w:rPr>
        <w:t>6.3水生植物恢复技术</w:t>
      </w:r>
    </w:p>
    <w:p>
      <w:pPr>
        <w:ind w:firstLine="643"/>
        <w:rPr>
          <w:rFonts w:ascii="仿宋_GB2312" w:cs="Times New Roman"/>
          <w:b/>
          <w:szCs w:val="32"/>
        </w:rPr>
      </w:pPr>
      <w:r>
        <w:rPr>
          <w:rFonts w:hint="eastAsia" w:ascii="仿宋_GB2312" w:cs="Times New Roman"/>
          <w:b/>
          <w:szCs w:val="32"/>
        </w:rPr>
        <w:t>6.3.1湿地水生植物选择</w:t>
      </w:r>
    </w:p>
    <w:p>
      <w:pPr>
        <w:ind w:firstLine="640"/>
        <w:rPr>
          <w:rFonts w:ascii="仿宋_GB2312" w:cs="Times New Roman"/>
        </w:rPr>
      </w:pPr>
      <w:r>
        <w:rPr>
          <w:rFonts w:hint="eastAsia" w:ascii="仿宋_GB2312" w:cs="Times New Roman"/>
        </w:rPr>
        <w:t>应选择抗逆性和抗病虫害强的乡土植物种类。选择根系比较发达，对污水耐受能力强和净化效果好的种类用于污水处理；应选择可提供隐蔽场所和食物供给的种类用于营造野生生物栖息地。</w:t>
      </w:r>
    </w:p>
    <w:p>
      <w:pPr>
        <w:ind w:firstLine="643"/>
        <w:rPr>
          <w:rFonts w:ascii="仿宋_GB2312" w:cs="Times New Roman"/>
          <w:b/>
          <w:szCs w:val="32"/>
        </w:rPr>
      </w:pPr>
      <w:r>
        <w:rPr>
          <w:rFonts w:hint="eastAsia" w:ascii="仿宋_GB2312" w:cs="Times New Roman"/>
          <w:b/>
          <w:szCs w:val="32"/>
        </w:rPr>
        <w:t>6.3.2湿地水生植物配置</w:t>
      </w:r>
    </w:p>
    <w:p>
      <w:pPr>
        <w:ind w:firstLine="640"/>
        <w:rPr>
          <w:rFonts w:ascii="仿宋_GB2312" w:cs="Times New Roman"/>
        </w:rPr>
      </w:pPr>
      <w:r>
        <w:rPr>
          <w:rFonts w:hint="eastAsia" w:ascii="仿宋_GB2312" w:cs="Times New Roman"/>
        </w:rPr>
        <w:t>（1）功能配置模式：主要包括物种多样化模式、优势种主导模式、水质净化型模式以及景观功能型模式。</w:t>
      </w:r>
    </w:p>
    <w:p>
      <w:pPr>
        <w:ind w:firstLine="640"/>
        <w:rPr>
          <w:rFonts w:ascii="仿宋_GB2312" w:cs="Times New Roman"/>
        </w:rPr>
      </w:pPr>
      <w:r>
        <w:rPr>
          <w:rFonts w:hint="eastAsia" w:ascii="仿宋_GB2312" w:cs="Times New Roman"/>
        </w:rPr>
        <w:t>（2）物种多样化模式：湿生、挺水、浮水、沉水、漂浮等湿地水生植物依序构成湿地恢复区植被系统的组成部分。</w:t>
      </w:r>
    </w:p>
    <w:p>
      <w:pPr>
        <w:ind w:firstLine="640"/>
        <w:rPr>
          <w:rFonts w:ascii="仿宋_GB2312" w:cs="Times New Roman"/>
        </w:rPr>
      </w:pPr>
      <w:r>
        <w:rPr>
          <w:rFonts w:hint="eastAsia" w:ascii="仿宋_GB2312" w:cs="Times New Roman"/>
        </w:rPr>
        <w:t>（3）优势种主导模式：优势种在湿地恢复区起主导作用，是植被恢复工程的主体部分，也是湿地景观的特色部分，其他物种为伴生物种。</w:t>
      </w:r>
    </w:p>
    <w:p>
      <w:pPr>
        <w:ind w:firstLine="640"/>
        <w:rPr>
          <w:rFonts w:ascii="仿宋_GB2312" w:cs="Times New Roman"/>
        </w:rPr>
      </w:pPr>
      <w:r>
        <w:rPr>
          <w:rFonts w:hint="eastAsia" w:ascii="仿宋_GB2312" w:cs="Times New Roman"/>
        </w:rPr>
        <w:t>（4）水质净化型模式：以净化功能较强的湿地水生植物为主，水域内点缀少量其它水生植物，以保持水质良好，水体透明。</w:t>
      </w:r>
    </w:p>
    <w:p>
      <w:pPr>
        <w:ind w:firstLine="640"/>
        <w:rPr>
          <w:rFonts w:ascii="仿宋_GB2312" w:cs="Times New Roman"/>
        </w:rPr>
      </w:pPr>
      <w:r>
        <w:rPr>
          <w:rFonts w:hint="eastAsia" w:ascii="仿宋_GB2312" w:cs="Times New Roman"/>
        </w:rPr>
        <w:t>（5）景观功能型模式：应主次分明，高低错落，符合各水生植物对生态环境要求。做到观赏功能和水体自净功能统一协调。</w:t>
      </w:r>
    </w:p>
    <w:p>
      <w:pPr>
        <w:ind w:firstLine="640"/>
        <w:rPr>
          <w:rFonts w:ascii="楷体_GB2312" w:eastAsia="楷体_GB2312" w:cs="Times New Roman"/>
          <w:szCs w:val="32"/>
        </w:rPr>
      </w:pPr>
      <w:r>
        <w:rPr>
          <w:rFonts w:hint="eastAsia" w:ascii="楷体_GB2312" w:eastAsia="楷体_GB2312" w:cs="Times New Roman"/>
          <w:szCs w:val="32"/>
        </w:rPr>
        <w:t>6.4岸坡修复技术</w:t>
      </w:r>
    </w:p>
    <w:p>
      <w:pPr>
        <w:ind w:firstLine="643"/>
        <w:rPr>
          <w:rFonts w:ascii="仿宋_GB2312" w:cs="Times New Roman"/>
          <w:b/>
          <w:szCs w:val="32"/>
        </w:rPr>
      </w:pPr>
      <w:r>
        <w:rPr>
          <w:rFonts w:hint="eastAsia" w:ascii="仿宋_GB2312" w:cs="Times New Roman"/>
          <w:b/>
          <w:szCs w:val="32"/>
        </w:rPr>
        <w:t>6.4.1生物护坡</w:t>
      </w:r>
    </w:p>
    <w:p>
      <w:pPr>
        <w:ind w:firstLine="640"/>
        <w:rPr>
          <w:rFonts w:ascii="仿宋_GB2312" w:cs="Times New Roman"/>
        </w:rPr>
      </w:pPr>
      <w:r>
        <w:rPr>
          <w:rFonts w:hint="eastAsia" w:ascii="仿宋_GB2312" w:cs="Times New Roman"/>
        </w:rPr>
        <w:t>利用湿地植物根、茎( 秆) 或完整的湿地植物体作为护岸结构体的主要元素，按一定的方式、方向和序列扦插、种植或掩埋在湿地岸坡的不同位置，加固和稳定岸坡以及控制水土流失。</w:t>
      </w:r>
    </w:p>
    <w:p>
      <w:pPr>
        <w:ind w:firstLine="643"/>
        <w:rPr>
          <w:rFonts w:ascii="仿宋_GB2312" w:cs="Times New Roman"/>
          <w:b/>
          <w:szCs w:val="32"/>
        </w:rPr>
      </w:pPr>
      <w:r>
        <w:rPr>
          <w:rFonts w:hint="eastAsia" w:ascii="仿宋_GB2312" w:cs="Times New Roman"/>
          <w:b/>
          <w:szCs w:val="32"/>
        </w:rPr>
        <w:t>6.4.2生物工程护坡</w:t>
      </w:r>
    </w:p>
    <w:p>
      <w:pPr>
        <w:ind w:firstLine="640"/>
        <w:rPr>
          <w:rFonts w:ascii="仿宋_GB2312" w:cs="Times New Roman"/>
        </w:rPr>
      </w:pPr>
      <w:r>
        <w:rPr>
          <w:rFonts w:hint="eastAsia" w:ascii="仿宋_GB2312" w:cs="Times New Roman"/>
        </w:rPr>
        <w:t>在受水流冲蚀而容易坍塌的湿地岸坡区域，利用木桩、生态砖、生态混凝土和生态袋护坡技术固着岸坡，阻挡水流的进一步冲蚀，并为湿地植物和微生物的生长提供适宜的空间。</w:t>
      </w:r>
    </w:p>
    <w:p>
      <w:pPr>
        <w:ind w:firstLine="643"/>
        <w:rPr>
          <w:rFonts w:ascii="仿宋_GB2312" w:cs="Times New Roman"/>
          <w:b/>
          <w:szCs w:val="32"/>
        </w:rPr>
      </w:pPr>
      <w:r>
        <w:rPr>
          <w:rFonts w:hint="eastAsia" w:ascii="仿宋_GB2312" w:cs="Times New Roman"/>
          <w:b/>
          <w:szCs w:val="32"/>
        </w:rPr>
        <w:t>6.4.3工程护坡</w:t>
      </w:r>
    </w:p>
    <w:p>
      <w:pPr>
        <w:ind w:firstLine="640"/>
        <w:rPr>
          <w:rFonts w:ascii="仿宋_GB2312" w:cs="Times New Roman"/>
        </w:rPr>
      </w:pPr>
      <w:r>
        <w:rPr>
          <w:rFonts w:hint="eastAsia" w:ascii="仿宋_GB2312" w:cs="Times New Roman"/>
        </w:rPr>
        <w:t>在需要稳固的岸坡临近水区域可用块石护坡，下层以碎石铺设，上层铺设粒径较大的块石，以块石的重力作用固着壤土，石块的重量和形状选择需根据不同的水流冲刷能力来确定。</w:t>
      </w:r>
    </w:p>
    <w:p>
      <w:pPr>
        <w:ind w:firstLine="640"/>
        <w:rPr>
          <w:rFonts w:ascii="楷体_GB2312" w:hAnsi="黑体" w:eastAsia="楷体_GB2312" w:cs="Times New Roman"/>
          <w:szCs w:val="32"/>
        </w:rPr>
      </w:pPr>
      <w:r>
        <w:rPr>
          <w:rFonts w:hint="eastAsia" w:ascii="楷体_GB2312" w:hAnsi="黑体" w:eastAsia="楷体_GB2312" w:cs="Times New Roman"/>
          <w:szCs w:val="32"/>
        </w:rPr>
        <w:t>6.5</w:t>
      </w:r>
      <w:bookmarkStart w:id="41" w:name="_Hlk80274819"/>
      <w:r>
        <w:rPr>
          <w:rFonts w:hint="eastAsia" w:ascii="楷体_GB2312" w:hAnsi="黑体" w:eastAsia="楷体_GB2312" w:cs="Times New Roman"/>
          <w:szCs w:val="32"/>
        </w:rPr>
        <w:t>鸟类栖息地恢复技术</w:t>
      </w:r>
      <w:bookmarkEnd w:id="41"/>
    </w:p>
    <w:p>
      <w:pPr>
        <w:ind w:firstLine="643"/>
        <w:rPr>
          <w:rFonts w:ascii="仿宋_GB2312" w:cs="Times New Roman"/>
          <w:b/>
          <w:szCs w:val="32"/>
        </w:rPr>
      </w:pPr>
      <w:r>
        <w:rPr>
          <w:rFonts w:hint="eastAsia" w:ascii="仿宋_GB2312" w:cs="Times New Roman"/>
          <w:b/>
          <w:szCs w:val="32"/>
        </w:rPr>
        <w:t>6.5.1游禽栖息地与生境恢复</w:t>
      </w:r>
    </w:p>
    <w:p>
      <w:pPr>
        <w:ind w:firstLine="640"/>
        <w:rPr>
          <w:rFonts w:ascii="仿宋_GB2312" w:cs="Times New Roman"/>
          <w:szCs w:val="32"/>
        </w:rPr>
      </w:pPr>
      <w:r>
        <w:rPr>
          <w:rFonts w:hint="eastAsia" w:ascii="仿宋_GB2312" w:cs="Times New Roman"/>
        </w:rPr>
        <w:t>应适当增殖水生生物吸引雁鸭类水鸟觅食，营建生态浮岛若干，并在滨水配置多样的矮小灌木和沼生草本，留出部分裸露泥涂、种植部分芦苇等水生植物和少量树木，作为水禽的筑巢区，营造小岛筑巢、水中觅食、滨水憩息的游禽鸟</w:t>
      </w:r>
      <w:r>
        <w:rPr>
          <w:rFonts w:hint="eastAsia" w:ascii="仿宋_GB2312" w:cs="Times New Roman"/>
          <w:szCs w:val="32"/>
        </w:rPr>
        <w:t>类生态景观。</w:t>
      </w:r>
    </w:p>
    <w:p>
      <w:pPr>
        <w:ind w:firstLine="643"/>
        <w:rPr>
          <w:rFonts w:ascii="仿宋_GB2312" w:cs="Times New Roman"/>
          <w:b/>
          <w:szCs w:val="32"/>
        </w:rPr>
      </w:pPr>
      <w:r>
        <w:rPr>
          <w:rFonts w:hint="eastAsia" w:ascii="仿宋_GB2312" w:cs="Times New Roman"/>
          <w:b/>
          <w:szCs w:val="32"/>
        </w:rPr>
        <w:t>6.5.2涉禽栖息地与生境恢复</w:t>
      </w:r>
    </w:p>
    <w:p>
      <w:pPr>
        <w:ind w:firstLine="640"/>
        <w:rPr>
          <w:rFonts w:ascii="仿宋_GB2312" w:cs="Times New Roman"/>
        </w:rPr>
      </w:pPr>
      <w:r>
        <w:rPr>
          <w:rFonts w:hint="eastAsia" w:ascii="仿宋_GB2312" w:cs="Times New Roman"/>
        </w:rPr>
        <w:t>营造具有相对稳定的适宜水位、丰富的食物资源和较强隐蔽性的鸟类栖息地。构建以沼泽、沼塘、浅水滩和水面为主的浅水区，70%左右水域水深维持在0.5米左右，30%水域水深控制在0.3米左右，适当种植荷花、菱和芡实等食源性植物。</w:t>
      </w:r>
    </w:p>
    <w:p>
      <w:pPr>
        <w:ind w:firstLine="643"/>
        <w:rPr>
          <w:rFonts w:ascii="仿宋_GB2312" w:cs="Times New Roman"/>
          <w:b/>
          <w:szCs w:val="32"/>
        </w:rPr>
      </w:pPr>
      <w:r>
        <w:rPr>
          <w:rFonts w:hint="eastAsia" w:ascii="仿宋_GB2312" w:cs="Times New Roman"/>
          <w:b/>
          <w:szCs w:val="32"/>
        </w:rPr>
        <w:t>6.5.3其他鸟类栖息地与生境恢复</w:t>
      </w:r>
    </w:p>
    <w:p>
      <w:pPr>
        <w:ind w:firstLine="640"/>
        <w:rPr>
          <w:rFonts w:ascii="仿宋_GB2312" w:cs="Times New Roman"/>
        </w:rPr>
      </w:pPr>
      <w:r>
        <w:rPr>
          <w:rFonts w:hint="eastAsia" w:ascii="仿宋_GB2312" w:cs="Times New Roman"/>
        </w:rPr>
        <w:t>通过微地形改造，采用乔灌草配置，营造近自然森林与灌丛。</w:t>
      </w:r>
    </w:p>
    <w:p>
      <w:pPr>
        <w:ind w:firstLine="640"/>
        <w:rPr>
          <w:rFonts w:ascii="楷体_GB2312" w:eastAsia="楷体_GB2312" w:cs="Times New Roman"/>
          <w:szCs w:val="32"/>
        </w:rPr>
      </w:pPr>
      <w:r>
        <w:rPr>
          <w:rFonts w:hint="eastAsia" w:ascii="楷体_GB2312" w:eastAsia="楷体_GB2312" w:cs="Times New Roman"/>
          <w:szCs w:val="32"/>
        </w:rPr>
        <w:t>6.6水生生物恢复</w:t>
      </w:r>
    </w:p>
    <w:p>
      <w:pPr>
        <w:ind w:firstLine="640"/>
        <w:rPr>
          <w:rFonts w:ascii="仿宋_GB2312" w:cs="Times New Roman"/>
        </w:rPr>
      </w:pPr>
      <w:r>
        <w:rPr>
          <w:rFonts w:hint="eastAsia" w:ascii="仿宋_GB2312" w:cs="Times New Roman"/>
        </w:rPr>
        <w:t>在恢复湿地生境基础上，通过人工增殖放流滤食性鱼类，投放螺、虾等底栖生物，控制水体中藻类；营造水体的生物多样性，形成合理的生物链循环。</w:t>
      </w:r>
    </w:p>
    <w:p>
      <w:pPr>
        <w:ind w:firstLine="640"/>
        <w:rPr>
          <w:rFonts w:ascii="楷体_GB2312" w:eastAsia="楷体_GB2312" w:cs="Times New Roman"/>
          <w:szCs w:val="32"/>
        </w:rPr>
      </w:pPr>
      <w:r>
        <w:rPr>
          <w:rFonts w:hint="eastAsia" w:ascii="楷体_GB2312" w:eastAsia="楷体_GB2312" w:cs="Times New Roman"/>
          <w:szCs w:val="32"/>
        </w:rPr>
        <w:t>6.7外来生物控制</w:t>
      </w:r>
    </w:p>
    <w:p>
      <w:pPr>
        <w:ind w:firstLine="640"/>
        <w:rPr>
          <w:rFonts w:ascii="仿宋_GB2312" w:cs="Times New Roman"/>
        </w:rPr>
      </w:pPr>
      <w:r>
        <w:rPr>
          <w:rFonts w:hint="eastAsia" w:ascii="仿宋_GB2312" w:cs="Times New Roman"/>
        </w:rPr>
        <w:t>严格控制外来物种引种，包括外来植物引种，水生生物引进等。对已有外来有害生物采取物理、生物、化学和综合防治措施。</w:t>
      </w:r>
    </w:p>
    <w:p>
      <w:pPr>
        <w:ind w:firstLine="640"/>
        <w:rPr>
          <w:rFonts w:cs="Times New Roman"/>
        </w:rPr>
      </w:pPr>
    </w:p>
    <w:p>
      <w:pPr>
        <w:ind w:firstLine="640"/>
        <w:rPr>
          <w:rFonts w:cs="Times New Roman"/>
        </w:rPr>
        <w:sectPr>
          <w:pgSz w:w="11906" w:h="16838"/>
          <w:pgMar w:top="1928" w:right="1304" w:bottom="1531" w:left="1531" w:header="851" w:footer="1474" w:gutter="0"/>
          <w:cols w:space="425" w:num="1"/>
          <w:docGrid w:type="lines" w:linePitch="312" w:charSpace="0"/>
        </w:sectPr>
      </w:pPr>
    </w:p>
    <w:p>
      <w:pPr>
        <w:pStyle w:val="2"/>
        <w:spacing w:before="0" w:after="0"/>
        <w:ind w:firstLine="0" w:firstLineChars="0"/>
        <w:rPr>
          <w:rFonts w:ascii="方正小标宋简体" w:eastAsia="方正小标宋简体" w:cs="Times New Roman"/>
          <w:b w:val="0"/>
          <w:sz w:val="44"/>
        </w:rPr>
      </w:pPr>
      <w:bookmarkStart w:id="42" w:name="_Toc80367070"/>
      <w:r>
        <w:rPr>
          <w:rFonts w:hint="eastAsia" w:ascii="方正小标宋简体" w:eastAsia="方正小标宋简体" w:cs="Times New Roman"/>
          <w:b w:val="0"/>
          <w:sz w:val="44"/>
        </w:rPr>
        <w:t>九、健康森林建设指导意见</w:t>
      </w:r>
      <w:bookmarkEnd w:id="42"/>
    </w:p>
    <w:p>
      <w:pPr>
        <w:ind w:firstLine="640"/>
        <w:rPr>
          <w:rFonts w:ascii="仿宋_GB2312"/>
        </w:rPr>
      </w:pPr>
    </w:p>
    <w:p>
      <w:pPr>
        <w:ind w:firstLine="640"/>
        <w:rPr>
          <w:rFonts w:ascii="黑体" w:hAnsi="黑体" w:eastAsia="黑体" w:cs="Times New Roman"/>
        </w:rPr>
      </w:pPr>
      <w:r>
        <w:rPr>
          <w:rFonts w:hint="eastAsia" w:ascii="黑体" w:hAnsi="黑体" w:eastAsia="黑体" w:cs="Times New Roman"/>
        </w:rPr>
        <w:t>1范围</w:t>
      </w:r>
    </w:p>
    <w:p>
      <w:pPr>
        <w:ind w:firstLine="640"/>
        <w:rPr>
          <w:rFonts w:ascii="仿宋_GB2312" w:cs="Times New Roman"/>
        </w:rPr>
      </w:pPr>
      <w:r>
        <w:rPr>
          <w:rFonts w:hint="eastAsia" w:ascii="仿宋_GB2312" w:cs="Times New Roman"/>
        </w:rPr>
        <w:t>以县级行政区为单位的松材线虫病发生区。</w:t>
      </w:r>
    </w:p>
    <w:p>
      <w:pPr>
        <w:ind w:firstLine="640"/>
        <w:rPr>
          <w:rFonts w:ascii="黑体" w:hAnsi="黑体" w:eastAsia="黑体" w:cs="Times New Roman"/>
        </w:rPr>
      </w:pPr>
      <w:r>
        <w:rPr>
          <w:rFonts w:hint="eastAsia" w:ascii="黑体" w:hAnsi="黑体" w:eastAsia="黑体" w:cs="Times New Roman"/>
        </w:rPr>
        <w:t>2规范性引用文件</w:t>
      </w:r>
    </w:p>
    <w:p>
      <w:pPr>
        <w:ind w:firstLine="640"/>
        <w:rPr>
          <w:rFonts w:ascii="仿宋_GB2312" w:cs="Times New Roman"/>
          <w:color w:val="000000"/>
          <w:szCs w:val="32"/>
        </w:rPr>
      </w:pPr>
      <w:r>
        <w:rPr>
          <w:rFonts w:hint="eastAsia" w:ascii="仿宋_GB2312" w:cs="Times New Roman"/>
          <w:color w:val="000000"/>
          <w:szCs w:val="32"/>
        </w:rPr>
        <w:t>《松材线虫病疫区和疫木管理办法》（林生发〔2018〕117号）</w:t>
      </w:r>
    </w:p>
    <w:p>
      <w:pPr>
        <w:ind w:firstLine="640"/>
        <w:rPr>
          <w:rFonts w:ascii="仿宋_GB2312" w:cs="Times New Roman"/>
          <w:color w:val="000000"/>
          <w:szCs w:val="32"/>
        </w:rPr>
      </w:pPr>
      <w:r>
        <w:rPr>
          <w:rFonts w:hint="eastAsia" w:ascii="仿宋_GB2312" w:cs="Times New Roman"/>
          <w:color w:val="000000"/>
          <w:szCs w:val="32"/>
        </w:rPr>
        <w:t>LY/T1865—2009 松材线虫病疫木清理技术规范</w:t>
      </w:r>
    </w:p>
    <w:p>
      <w:pPr>
        <w:ind w:firstLine="640"/>
        <w:rPr>
          <w:rFonts w:ascii="黑体" w:hAnsi="黑体" w:eastAsia="黑体" w:cs="Times New Roman"/>
        </w:rPr>
      </w:pPr>
      <w:r>
        <w:rPr>
          <w:rFonts w:hint="eastAsia" w:ascii="黑体" w:hAnsi="黑体" w:eastAsia="黑体" w:cs="Times New Roman"/>
        </w:rPr>
        <w:t>3适用对象</w:t>
      </w:r>
    </w:p>
    <w:p>
      <w:pPr>
        <w:ind w:firstLine="640"/>
        <w:rPr>
          <w:rFonts w:ascii="楷体_GB2312" w:eastAsia="楷体_GB2312" w:cs="Times New Roman"/>
        </w:rPr>
      </w:pPr>
      <w:r>
        <w:rPr>
          <w:rFonts w:hint="eastAsia" w:ascii="楷体_GB2312" w:eastAsia="楷体_GB2312" w:cs="Times New Roman"/>
        </w:rPr>
        <w:t>3.1疫木除治对象</w:t>
      </w:r>
    </w:p>
    <w:p>
      <w:pPr>
        <w:ind w:firstLine="640"/>
        <w:rPr>
          <w:rFonts w:ascii="仿宋_GB2312" w:cs="Times New Roman"/>
        </w:rPr>
      </w:pPr>
      <w:r>
        <w:rPr>
          <w:rFonts w:hint="eastAsia" w:ascii="仿宋_GB2312" w:cs="Times New Roman"/>
        </w:rPr>
        <w:t>松材线虫病疫情发生小班病死（濒死、枯死）松树。</w:t>
      </w:r>
    </w:p>
    <w:p>
      <w:pPr>
        <w:ind w:firstLine="640"/>
        <w:rPr>
          <w:rFonts w:ascii="楷体_GB2312" w:eastAsia="楷体_GB2312" w:cs="Times New Roman"/>
        </w:rPr>
      </w:pPr>
      <w:r>
        <w:rPr>
          <w:rFonts w:hint="eastAsia" w:ascii="楷体_GB2312" w:eastAsia="楷体_GB2312" w:cs="Times New Roman"/>
        </w:rPr>
        <w:t>3.2主动改造对象</w:t>
      </w:r>
    </w:p>
    <w:p>
      <w:pPr>
        <w:ind w:firstLine="640"/>
        <w:rPr>
          <w:rFonts w:ascii="仿宋_GB2312" w:cs="Times New Roman"/>
        </w:rPr>
      </w:pPr>
      <w:r>
        <w:rPr>
          <w:rFonts w:hint="eastAsia" w:ascii="仿宋_GB2312" w:cs="Times New Roman"/>
        </w:rPr>
        <w:t>（1）受松材线虫病疫情影响较严重的小班及其周边小班。</w:t>
      </w:r>
    </w:p>
    <w:p>
      <w:pPr>
        <w:ind w:firstLine="640"/>
        <w:rPr>
          <w:rFonts w:ascii="仿宋_GB2312" w:cs="Times New Roman"/>
        </w:rPr>
      </w:pPr>
      <w:r>
        <w:rPr>
          <w:rFonts w:hint="eastAsia" w:ascii="仿宋_GB2312" w:cs="Times New Roman"/>
        </w:rPr>
        <w:t>（2）经县级政府同意，有改造需求的、松木占比较高的低产林、低效林。</w:t>
      </w:r>
    </w:p>
    <w:p>
      <w:pPr>
        <w:ind w:firstLine="640"/>
        <w:rPr>
          <w:rFonts w:ascii="黑体" w:hAnsi="黑体" w:eastAsia="黑体" w:cs="Times New Roman"/>
        </w:rPr>
      </w:pPr>
      <w:r>
        <w:rPr>
          <w:rFonts w:hint="eastAsia" w:ascii="黑体" w:hAnsi="黑体" w:eastAsia="黑体" w:cs="Times New Roman"/>
        </w:rPr>
        <w:t>4控制指标</w:t>
      </w:r>
    </w:p>
    <w:p>
      <w:pPr>
        <w:ind w:firstLine="640"/>
        <w:rPr>
          <w:rFonts w:ascii="楷体_GB2312" w:eastAsia="楷体_GB2312" w:cs="Times New Roman"/>
        </w:rPr>
      </w:pPr>
      <w:r>
        <w:rPr>
          <w:rFonts w:hint="eastAsia" w:ascii="楷体_GB2312" w:eastAsia="楷体_GB2312" w:cs="Times New Roman"/>
        </w:rPr>
        <w:t>4.1疫木除治</w:t>
      </w:r>
    </w:p>
    <w:p>
      <w:pPr>
        <w:numPr>
          <w:ilvl w:val="0"/>
          <w:numId w:val="6"/>
        </w:numPr>
        <w:ind w:firstLine="640"/>
        <w:rPr>
          <w:rFonts w:ascii="仿宋_GB2312" w:cs="Times New Roman"/>
        </w:rPr>
      </w:pPr>
      <w:r>
        <w:rPr>
          <w:rFonts w:hint="eastAsia" w:ascii="仿宋_GB2312" w:cs="Times New Roman"/>
        </w:rPr>
        <w:t>择伐：对松材线虫病疫情发生小班及其周边松林中的病死（濒死、枯死）松树进行采伐。择伐包括集中除治和即死即清2种方式。</w:t>
      </w:r>
    </w:p>
    <w:p>
      <w:pPr>
        <w:numPr>
          <w:ilvl w:val="0"/>
          <w:numId w:val="6"/>
        </w:numPr>
        <w:ind w:firstLine="640"/>
        <w:rPr>
          <w:rFonts w:ascii="仿宋_GB2312" w:cs="Times New Roman"/>
        </w:rPr>
      </w:pPr>
      <w:r>
        <w:rPr>
          <w:rFonts w:hint="eastAsia" w:ascii="仿宋_GB2312" w:cs="Times New Roman"/>
        </w:rPr>
        <w:t>皆伐：原则上不采取皆伐。对发生面积</w:t>
      </w:r>
      <w:r>
        <w:rPr>
          <w:rFonts w:hint="eastAsia" w:ascii="仿宋_GB2312" w:hAnsi="仿宋_GB2312" w:cs="Times New Roman"/>
        </w:rPr>
        <w:t>≤</w:t>
      </w:r>
      <w:r>
        <w:rPr>
          <w:rFonts w:hint="eastAsia" w:ascii="仿宋_GB2312" w:cs="Times New Roman"/>
        </w:rPr>
        <w:t>100亩且当年能够实现无疫情的孤立疫点，经县级及以上林业主管部门同意后，可采取皆伐措施，并及时进行造林。</w:t>
      </w:r>
    </w:p>
    <w:p>
      <w:pPr>
        <w:ind w:firstLine="640"/>
        <w:rPr>
          <w:rFonts w:ascii="楷体_GB2312" w:eastAsia="楷体_GB2312" w:cs="Times New Roman"/>
        </w:rPr>
      </w:pPr>
      <w:r>
        <w:rPr>
          <w:rFonts w:hint="eastAsia" w:ascii="楷体_GB2312" w:eastAsia="楷体_GB2312" w:cs="Times New Roman"/>
        </w:rPr>
        <w:t>4.2主动改造</w:t>
      </w:r>
    </w:p>
    <w:p>
      <w:pPr>
        <w:ind w:firstLine="640"/>
        <w:rPr>
          <w:rFonts w:ascii="仿宋_GB2312" w:cs="Times New Roman"/>
        </w:rPr>
      </w:pPr>
      <w:r>
        <w:rPr>
          <w:rFonts w:hint="eastAsia" w:ascii="仿宋_GB2312" w:cs="Times New Roman"/>
        </w:rPr>
        <w:t>（1）按照伐小留大、伐弱留强的要求，开展块状择伐，均匀伐除胸径</w:t>
      </w:r>
      <w:r>
        <w:rPr>
          <w:rFonts w:hint="eastAsia" w:ascii="仿宋_GB2312" w:hAnsi="仿宋_GB2312" w:cs="Times New Roman"/>
        </w:rPr>
        <w:t>&lt;</w:t>
      </w:r>
      <w:r>
        <w:rPr>
          <w:rFonts w:hint="eastAsia" w:ascii="仿宋_GB2312" w:cs="Times New Roman"/>
        </w:rPr>
        <w:t>15厘米的松木，不造成大的天窗。禁止采伐阔叶树种。</w:t>
      </w:r>
    </w:p>
    <w:p>
      <w:pPr>
        <w:ind w:firstLine="640"/>
        <w:rPr>
          <w:rFonts w:ascii="仿宋_GB2312" w:cs="Times New Roman"/>
        </w:rPr>
      </w:pPr>
      <w:r>
        <w:rPr>
          <w:rFonts w:hint="eastAsia" w:ascii="仿宋_GB2312" w:cs="Times New Roman"/>
        </w:rPr>
        <w:t>（2）对生态公益林以及胸径</w:t>
      </w:r>
      <w:r>
        <w:rPr>
          <w:rFonts w:hint="eastAsia" w:ascii="仿宋_GB2312" w:hAnsi="仿宋_GB2312" w:cs="Times New Roman"/>
        </w:rPr>
        <w:t>&lt;</w:t>
      </w:r>
      <w:r>
        <w:rPr>
          <w:rFonts w:hint="eastAsia" w:ascii="仿宋_GB2312" w:cs="Times New Roman"/>
        </w:rPr>
        <w:t>15厘米的松木占比较高的林分，采伐强度≤40%。</w:t>
      </w:r>
    </w:p>
    <w:p>
      <w:pPr>
        <w:ind w:firstLine="640"/>
        <w:rPr>
          <w:rFonts w:ascii="黑体" w:hAnsi="黑体" w:eastAsia="黑体" w:cs="Times New Roman"/>
        </w:rPr>
      </w:pPr>
      <w:r>
        <w:rPr>
          <w:rFonts w:hint="eastAsia" w:ascii="黑体" w:hAnsi="黑体" w:eastAsia="黑体" w:cs="Times New Roman"/>
        </w:rPr>
        <w:t>5技术措施</w:t>
      </w:r>
    </w:p>
    <w:p>
      <w:pPr>
        <w:ind w:firstLine="640"/>
        <w:rPr>
          <w:rFonts w:ascii="仿宋_GB2312" w:cs="Times New Roman"/>
        </w:rPr>
      </w:pPr>
      <w:r>
        <w:rPr>
          <w:rFonts w:hint="eastAsia" w:ascii="仿宋_GB2312" w:cs="Times New Roman"/>
        </w:rPr>
        <w:t>采伐清理病死（濒死、枯死）松树，对择伐的松树和采伐迹地上直径超过1厘米的枝桠进行全部清理，就近实施除害处理，除治后伐桩高度不得超过5厘米，根据实际情况对伐桩进行网罩、剥皮等后续处理，清理采伐实行全过程现场监管。</w:t>
      </w:r>
    </w:p>
    <w:p>
      <w:pPr>
        <w:ind w:firstLine="640"/>
        <w:rPr>
          <w:rFonts w:ascii="黑体" w:hAnsi="黑体" w:eastAsia="黑体" w:cs="Times New Roman"/>
        </w:rPr>
      </w:pPr>
      <w:r>
        <w:rPr>
          <w:rFonts w:hint="eastAsia" w:ascii="黑体" w:hAnsi="黑体" w:eastAsia="黑体" w:cs="Times New Roman"/>
        </w:rPr>
        <w:t>6验收要求</w:t>
      </w:r>
    </w:p>
    <w:p>
      <w:pPr>
        <w:ind w:firstLine="640"/>
        <w:rPr>
          <w:rFonts w:ascii="楷体_GB2312" w:eastAsia="楷体_GB2312" w:cs="Times New Roman"/>
        </w:rPr>
      </w:pPr>
      <w:r>
        <w:rPr>
          <w:rFonts w:hint="eastAsia" w:ascii="楷体_GB2312" w:eastAsia="楷体_GB2312" w:cs="Times New Roman"/>
        </w:rPr>
        <w:t>6.1疫木除治验收要求</w:t>
      </w:r>
    </w:p>
    <w:p>
      <w:pPr>
        <w:ind w:firstLine="640"/>
        <w:rPr>
          <w:rFonts w:ascii="仿宋_GB2312" w:cs="Times New Roman"/>
        </w:rPr>
      </w:pPr>
      <w:r>
        <w:rPr>
          <w:rFonts w:hint="eastAsia" w:ascii="仿宋_GB2312" w:cs="Times New Roman"/>
        </w:rPr>
        <w:t>目标林分内，原疫情小班实现无疫情或病死松树比例占松树总量的1%以下。</w:t>
      </w:r>
    </w:p>
    <w:p>
      <w:pPr>
        <w:ind w:firstLine="640"/>
        <w:rPr>
          <w:rFonts w:ascii="楷体_GB2312" w:eastAsia="楷体_GB2312" w:cs="Times New Roman"/>
        </w:rPr>
      </w:pPr>
      <w:r>
        <w:rPr>
          <w:rFonts w:hint="eastAsia" w:ascii="楷体_GB2312" w:eastAsia="楷体_GB2312" w:cs="Times New Roman"/>
        </w:rPr>
        <w:t>6.2主动改造验收要求</w:t>
      </w:r>
    </w:p>
    <w:p>
      <w:pPr>
        <w:ind w:firstLine="640"/>
        <w:rPr>
          <w:rFonts w:ascii="仿宋_GB2312" w:cs="Times New Roman"/>
        </w:rPr>
      </w:pPr>
      <w:r>
        <w:rPr>
          <w:rFonts w:hint="eastAsia" w:ascii="仿宋_GB2312" w:cs="Times New Roman"/>
        </w:rPr>
        <w:t>目标林分内，没有胸径15厘米以下松木，且无疫情或病死松树比例占松树总量的1%以下。</w:t>
      </w:r>
    </w:p>
    <w:p>
      <w:pPr>
        <w:ind w:firstLine="0" w:firstLineChars="0"/>
        <w:rPr>
          <w:rFonts w:cs="Times New Roman"/>
        </w:rPr>
      </w:pPr>
    </w:p>
    <w:sectPr>
      <w:pgSz w:w="11906" w:h="16838"/>
      <w:pgMar w:top="1928" w:right="1304" w:bottom="1531" w:left="1531" w:header="851" w:footer="1474"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center"/>
    </w:pPr>
    <w:r>
      <w:fldChar w:fldCharType="begin"/>
    </w:r>
    <w:r>
      <w:instrText xml:space="preserve">PAGE   \* MERGEFORMAT</w:instrText>
    </w:r>
    <w:r>
      <w:fldChar w:fldCharType="separate"/>
    </w:r>
    <w:r>
      <w:rPr>
        <w:lang w:val="zh-CN"/>
      </w:rPr>
      <w:t>26</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ind w:firstLine="360"/>
      <w:jc w:val="center"/>
      <w:rPr>
        <w:rStyle w:val="17"/>
      </w:rPr>
    </w:pPr>
    <w:r>
      <w:rPr>
        <w:rStyle w:val="17"/>
      </w:rPr>
      <w:fldChar w:fldCharType="begin"/>
    </w:r>
    <w:r>
      <w:rPr>
        <w:rStyle w:val="17"/>
      </w:rPr>
      <w:instrText xml:space="preserve">PAGE  </w:instrText>
    </w:r>
    <w:r>
      <w:rPr>
        <w:rStyle w:val="17"/>
      </w:rPr>
      <w:fldChar w:fldCharType="separate"/>
    </w:r>
    <w:r>
      <w:rPr>
        <w:rStyle w:val="17"/>
      </w:rPr>
      <w:t>52</w:t>
    </w:r>
    <w:r>
      <w:rPr>
        <w:rStyle w:val="17"/>
      </w:rPr>
      <w:fldChar w:fldCharType="end"/>
    </w:r>
  </w:p>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0A57E"/>
    <w:multiLevelType w:val="singleLevel"/>
    <w:tmpl w:val="BC00A57E"/>
    <w:lvl w:ilvl="0" w:tentative="0">
      <w:start w:val="1"/>
      <w:numFmt w:val="decimal"/>
      <w:suff w:val="nothing"/>
      <w:lvlText w:val="（%1）"/>
      <w:lvlJc w:val="left"/>
    </w:lvl>
  </w:abstractNum>
  <w:abstractNum w:abstractNumId="1">
    <w:nsid w:val="1FC91163"/>
    <w:multiLevelType w:val="multilevel"/>
    <w:tmpl w:val="1FC91163"/>
    <w:lvl w:ilvl="0" w:tentative="0">
      <w:start w:val="1"/>
      <w:numFmt w:val="decimal"/>
      <w:pStyle w:val="25"/>
      <w:suff w:val="nothing"/>
      <w:lvlText w:val="%1　"/>
      <w:lvlJc w:val="left"/>
      <w:pPr>
        <w:ind w:left="0" w:firstLine="0"/>
      </w:pPr>
      <w:rPr>
        <w:rFonts w:hint="eastAsia" w:ascii="仿宋_GB2312" w:hAnsi="Times New Roman" w:eastAsia="仿宋_GB2312"/>
        <w:b w:val="0"/>
        <w:i w:val="0"/>
        <w:sz w:val="32"/>
        <w:szCs w:val="32"/>
      </w:rPr>
    </w:lvl>
    <w:lvl w:ilvl="1" w:tentative="0">
      <w:start w:val="1"/>
      <w:numFmt w:val="decimal"/>
      <w:suff w:val="nothing"/>
      <w:lvlText w:val="%1.%2　"/>
      <w:lvlJc w:val="left"/>
      <w:pPr>
        <w:ind w:left="42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126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2C1020B5"/>
    <w:multiLevelType w:val="multilevel"/>
    <w:tmpl w:val="2C1020B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44C50F90"/>
    <w:multiLevelType w:val="multilevel"/>
    <w:tmpl w:val="44C50F90"/>
    <w:lvl w:ilvl="0" w:tentative="0">
      <w:start w:val="1"/>
      <w:numFmt w:val="lowerLetter"/>
      <w:pStyle w:val="39"/>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36"/>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40"/>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4">
    <w:nsid w:val="4DEE3632"/>
    <w:multiLevelType w:val="singleLevel"/>
    <w:tmpl w:val="4DEE3632"/>
    <w:lvl w:ilvl="0" w:tentative="0">
      <w:start w:val="1"/>
      <w:numFmt w:val="decimal"/>
      <w:suff w:val="nothing"/>
      <w:lvlText w:val="（%1）"/>
      <w:lvlJc w:val="left"/>
    </w:lvl>
  </w:abstractNum>
  <w:abstractNum w:abstractNumId="5">
    <w:nsid w:val="657D3FBC"/>
    <w:multiLevelType w:val="multilevel"/>
    <w:tmpl w:val="657D3FBC"/>
    <w:lvl w:ilvl="0" w:tentative="0">
      <w:start w:val="1"/>
      <w:numFmt w:val="upperLetter"/>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30"/>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5"/>
  </w:num>
  <w:num w:numId="3">
    <w:abstractNumId w:val="3"/>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60"/>
  <w:drawingGridVerticalSpacing w:val="435"/>
  <w:displayHorizont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DEB"/>
    <w:rsid w:val="0000233F"/>
    <w:rsid w:val="000065A0"/>
    <w:rsid w:val="00012CA8"/>
    <w:rsid w:val="000269CB"/>
    <w:rsid w:val="00026C4F"/>
    <w:rsid w:val="00034EE9"/>
    <w:rsid w:val="00035592"/>
    <w:rsid w:val="00043494"/>
    <w:rsid w:val="00060EB0"/>
    <w:rsid w:val="00070A86"/>
    <w:rsid w:val="000768A2"/>
    <w:rsid w:val="00080B64"/>
    <w:rsid w:val="00081EF0"/>
    <w:rsid w:val="00090CE4"/>
    <w:rsid w:val="00096F25"/>
    <w:rsid w:val="000A398B"/>
    <w:rsid w:val="000B4F5B"/>
    <w:rsid w:val="000B6283"/>
    <w:rsid w:val="000B6B0F"/>
    <w:rsid w:val="000D3CC2"/>
    <w:rsid w:val="000D7E61"/>
    <w:rsid w:val="000E55D1"/>
    <w:rsid w:val="000E780A"/>
    <w:rsid w:val="000F2139"/>
    <w:rsid w:val="000F513A"/>
    <w:rsid w:val="000F5680"/>
    <w:rsid w:val="00100A79"/>
    <w:rsid w:val="0010687B"/>
    <w:rsid w:val="00107FB9"/>
    <w:rsid w:val="00111B1E"/>
    <w:rsid w:val="00112311"/>
    <w:rsid w:val="0011661D"/>
    <w:rsid w:val="00125997"/>
    <w:rsid w:val="00136CE7"/>
    <w:rsid w:val="001407F9"/>
    <w:rsid w:val="00141ECA"/>
    <w:rsid w:val="00152D42"/>
    <w:rsid w:val="00156AEC"/>
    <w:rsid w:val="001701D7"/>
    <w:rsid w:val="00176A26"/>
    <w:rsid w:val="001A54CE"/>
    <w:rsid w:val="001B3D53"/>
    <w:rsid w:val="001D19EA"/>
    <w:rsid w:val="001D36CF"/>
    <w:rsid w:val="001D4DEA"/>
    <w:rsid w:val="001D690E"/>
    <w:rsid w:val="001E3009"/>
    <w:rsid w:val="00203C5B"/>
    <w:rsid w:val="00211C6A"/>
    <w:rsid w:val="002156B7"/>
    <w:rsid w:val="002212B8"/>
    <w:rsid w:val="00232D99"/>
    <w:rsid w:val="00234638"/>
    <w:rsid w:val="0023621F"/>
    <w:rsid w:val="00242FEF"/>
    <w:rsid w:val="00243E48"/>
    <w:rsid w:val="002441F2"/>
    <w:rsid w:val="00246465"/>
    <w:rsid w:val="0025533C"/>
    <w:rsid w:val="00260722"/>
    <w:rsid w:val="0026383E"/>
    <w:rsid w:val="00272454"/>
    <w:rsid w:val="0027452E"/>
    <w:rsid w:val="0029691F"/>
    <w:rsid w:val="002A0574"/>
    <w:rsid w:val="002A16AA"/>
    <w:rsid w:val="002A26FF"/>
    <w:rsid w:val="002C49EE"/>
    <w:rsid w:val="002C6036"/>
    <w:rsid w:val="002C6D61"/>
    <w:rsid w:val="002D1830"/>
    <w:rsid w:val="002D2BEF"/>
    <w:rsid w:val="002E2A2E"/>
    <w:rsid w:val="002F23E5"/>
    <w:rsid w:val="002F2411"/>
    <w:rsid w:val="002F44AC"/>
    <w:rsid w:val="002F57E8"/>
    <w:rsid w:val="003034A4"/>
    <w:rsid w:val="0031778C"/>
    <w:rsid w:val="00317AC9"/>
    <w:rsid w:val="00320D82"/>
    <w:rsid w:val="00321115"/>
    <w:rsid w:val="00325859"/>
    <w:rsid w:val="003260E6"/>
    <w:rsid w:val="00334045"/>
    <w:rsid w:val="00335EC3"/>
    <w:rsid w:val="003438D6"/>
    <w:rsid w:val="0034785E"/>
    <w:rsid w:val="00352F08"/>
    <w:rsid w:val="00353BBF"/>
    <w:rsid w:val="00355A2F"/>
    <w:rsid w:val="00356674"/>
    <w:rsid w:val="00361377"/>
    <w:rsid w:val="00364D9C"/>
    <w:rsid w:val="003735FE"/>
    <w:rsid w:val="00376006"/>
    <w:rsid w:val="00382604"/>
    <w:rsid w:val="00392723"/>
    <w:rsid w:val="003A0DB3"/>
    <w:rsid w:val="003A18C5"/>
    <w:rsid w:val="003A37E4"/>
    <w:rsid w:val="003A7E89"/>
    <w:rsid w:val="003B322C"/>
    <w:rsid w:val="003C6A35"/>
    <w:rsid w:val="003C6EE7"/>
    <w:rsid w:val="003D40E5"/>
    <w:rsid w:val="003D412A"/>
    <w:rsid w:val="003D50F3"/>
    <w:rsid w:val="003F0A2B"/>
    <w:rsid w:val="003F1307"/>
    <w:rsid w:val="003F36B8"/>
    <w:rsid w:val="00402AA4"/>
    <w:rsid w:val="00423AB0"/>
    <w:rsid w:val="004252CB"/>
    <w:rsid w:val="004267AE"/>
    <w:rsid w:val="00450C94"/>
    <w:rsid w:val="0045233F"/>
    <w:rsid w:val="00463417"/>
    <w:rsid w:val="00476BE3"/>
    <w:rsid w:val="00476FB5"/>
    <w:rsid w:val="00483674"/>
    <w:rsid w:val="0049361C"/>
    <w:rsid w:val="00496B4E"/>
    <w:rsid w:val="004A2263"/>
    <w:rsid w:val="004A395F"/>
    <w:rsid w:val="004C2404"/>
    <w:rsid w:val="004C52F8"/>
    <w:rsid w:val="004C63C0"/>
    <w:rsid w:val="004D49AE"/>
    <w:rsid w:val="004D6437"/>
    <w:rsid w:val="004D780D"/>
    <w:rsid w:val="004E3AC9"/>
    <w:rsid w:val="004E5934"/>
    <w:rsid w:val="004E6BEE"/>
    <w:rsid w:val="004E7476"/>
    <w:rsid w:val="004F79F8"/>
    <w:rsid w:val="00502206"/>
    <w:rsid w:val="0050323F"/>
    <w:rsid w:val="00506558"/>
    <w:rsid w:val="005132C6"/>
    <w:rsid w:val="00513B75"/>
    <w:rsid w:val="00513C97"/>
    <w:rsid w:val="00521F71"/>
    <w:rsid w:val="0052285A"/>
    <w:rsid w:val="00526F0D"/>
    <w:rsid w:val="00527223"/>
    <w:rsid w:val="00527FBA"/>
    <w:rsid w:val="005330D2"/>
    <w:rsid w:val="00535B29"/>
    <w:rsid w:val="00536164"/>
    <w:rsid w:val="00542D8A"/>
    <w:rsid w:val="0054331C"/>
    <w:rsid w:val="0056203C"/>
    <w:rsid w:val="005747C4"/>
    <w:rsid w:val="005774DF"/>
    <w:rsid w:val="00587CE4"/>
    <w:rsid w:val="00590900"/>
    <w:rsid w:val="005928DA"/>
    <w:rsid w:val="005A3998"/>
    <w:rsid w:val="005A55AD"/>
    <w:rsid w:val="005B1E45"/>
    <w:rsid w:val="005B7CB7"/>
    <w:rsid w:val="005C2507"/>
    <w:rsid w:val="005C3A64"/>
    <w:rsid w:val="005C6D45"/>
    <w:rsid w:val="005C6EE9"/>
    <w:rsid w:val="005D1664"/>
    <w:rsid w:val="005E2E4B"/>
    <w:rsid w:val="00604708"/>
    <w:rsid w:val="00620BF2"/>
    <w:rsid w:val="00625F49"/>
    <w:rsid w:val="006312A8"/>
    <w:rsid w:val="00635A6D"/>
    <w:rsid w:val="0064634A"/>
    <w:rsid w:val="00652D23"/>
    <w:rsid w:val="006663A2"/>
    <w:rsid w:val="00666BD1"/>
    <w:rsid w:val="00674C82"/>
    <w:rsid w:val="006931D6"/>
    <w:rsid w:val="006A1070"/>
    <w:rsid w:val="006A5D2C"/>
    <w:rsid w:val="006B0567"/>
    <w:rsid w:val="006B35F0"/>
    <w:rsid w:val="006B440C"/>
    <w:rsid w:val="006B7B98"/>
    <w:rsid w:val="006C110F"/>
    <w:rsid w:val="006C6008"/>
    <w:rsid w:val="006E7595"/>
    <w:rsid w:val="00700158"/>
    <w:rsid w:val="00710668"/>
    <w:rsid w:val="00717DBB"/>
    <w:rsid w:val="007200E1"/>
    <w:rsid w:val="007201C0"/>
    <w:rsid w:val="00722EAF"/>
    <w:rsid w:val="007246AC"/>
    <w:rsid w:val="007253B3"/>
    <w:rsid w:val="007273EC"/>
    <w:rsid w:val="00730EB8"/>
    <w:rsid w:val="007445D4"/>
    <w:rsid w:val="00756B39"/>
    <w:rsid w:val="007652C7"/>
    <w:rsid w:val="00780B60"/>
    <w:rsid w:val="00781074"/>
    <w:rsid w:val="00781085"/>
    <w:rsid w:val="00782141"/>
    <w:rsid w:val="00783850"/>
    <w:rsid w:val="00784E09"/>
    <w:rsid w:val="0078504E"/>
    <w:rsid w:val="00787255"/>
    <w:rsid w:val="00791E82"/>
    <w:rsid w:val="007A7533"/>
    <w:rsid w:val="007A7B68"/>
    <w:rsid w:val="007B2174"/>
    <w:rsid w:val="007B2E7C"/>
    <w:rsid w:val="007B59B6"/>
    <w:rsid w:val="007B5D93"/>
    <w:rsid w:val="007C230E"/>
    <w:rsid w:val="007C46EB"/>
    <w:rsid w:val="007C7C38"/>
    <w:rsid w:val="007D152E"/>
    <w:rsid w:val="007D1A50"/>
    <w:rsid w:val="007D4F10"/>
    <w:rsid w:val="007E0B05"/>
    <w:rsid w:val="007F101B"/>
    <w:rsid w:val="007F1990"/>
    <w:rsid w:val="007F7221"/>
    <w:rsid w:val="00810AD3"/>
    <w:rsid w:val="00817AC1"/>
    <w:rsid w:val="00840B7B"/>
    <w:rsid w:val="008432C3"/>
    <w:rsid w:val="00843E06"/>
    <w:rsid w:val="00844F8D"/>
    <w:rsid w:val="00847CB6"/>
    <w:rsid w:val="0085653F"/>
    <w:rsid w:val="00857E1D"/>
    <w:rsid w:val="00866DFA"/>
    <w:rsid w:val="008747DB"/>
    <w:rsid w:val="00877EB9"/>
    <w:rsid w:val="00880D43"/>
    <w:rsid w:val="00886939"/>
    <w:rsid w:val="00887D3C"/>
    <w:rsid w:val="00892B6F"/>
    <w:rsid w:val="008A112B"/>
    <w:rsid w:val="008A22C7"/>
    <w:rsid w:val="008B0F85"/>
    <w:rsid w:val="008B389A"/>
    <w:rsid w:val="008B3AA2"/>
    <w:rsid w:val="008B7E30"/>
    <w:rsid w:val="008C5710"/>
    <w:rsid w:val="008D63F3"/>
    <w:rsid w:val="008E1A08"/>
    <w:rsid w:val="008E1A49"/>
    <w:rsid w:val="008E4926"/>
    <w:rsid w:val="008E4A17"/>
    <w:rsid w:val="008F2C45"/>
    <w:rsid w:val="008F37C3"/>
    <w:rsid w:val="008F4032"/>
    <w:rsid w:val="008F73AE"/>
    <w:rsid w:val="00916FEB"/>
    <w:rsid w:val="009313CD"/>
    <w:rsid w:val="00931771"/>
    <w:rsid w:val="00932B5B"/>
    <w:rsid w:val="00934214"/>
    <w:rsid w:val="00934A03"/>
    <w:rsid w:val="00936C00"/>
    <w:rsid w:val="00942138"/>
    <w:rsid w:val="009440CA"/>
    <w:rsid w:val="00965BDA"/>
    <w:rsid w:val="00972D50"/>
    <w:rsid w:val="009757AC"/>
    <w:rsid w:val="009802B3"/>
    <w:rsid w:val="009845F7"/>
    <w:rsid w:val="00985129"/>
    <w:rsid w:val="009875B8"/>
    <w:rsid w:val="00992BF8"/>
    <w:rsid w:val="009937CE"/>
    <w:rsid w:val="00995506"/>
    <w:rsid w:val="00996D36"/>
    <w:rsid w:val="009A7CF0"/>
    <w:rsid w:val="009B3080"/>
    <w:rsid w:val="009B7D2C"/>
    <w:rsid w:val="009C19D3"/>
    <w:rsid w:val="009C4C59"/>
    <w:rsid w:val="009E0298"/>
    <w:rsid w:val="009E25B4"/>
    <w:rsid w:val="009E7264"/>
    <w:rsid w:val="009E7AB5"/>
    <w:rsid w:val="009F065B"/>
    <w:rsid w:val="009F50A3"/>
    <w:rsid w:val="009F6479"/>
    <w:rsid w:val="00A01718"/>
    <w:rsid w:val="00A055B3"/>
    <w:rsid w:val="00A0660D"/>
    <w:rsid w:val="00A13318"/>
    <w:rsid w:val="00A17608"/>
    <w:rsid w:val="00A2160E"/>
    <w:rsid w:val="00A23FA1"/>
    <w:rsid w:val="00A242EC"/>
    <w:rsid w:val="00A27159"/>
    <w:rsid w:val="00A359AF"/>
    <w:rsid w:val="00A37117"/>
    <w:rsid w:val="00A43006"/>
    <w:rsid w:val="00A45FF8"/>
    <w:rsid w:val="00A46DE3"/>
    <w:rsid w:val="00A52D55"/>
    <w:rsid w:val="00A57FFE"/>
    <w:rsid w:val="00A667BD"/>
    <w:rsid w:val="00A753D2"/>
    <w:rsid w:val="00A80A1F"/>
    <w:rsid w:val="00A845A1"/>
    <w:rsid w:val="00A9184D"/>
    <w:rsid w:val="00AA3629"/>
    <w:rsid w:val="00AA6ACE"/>
    <w:rsid w:val="00AA70EC"/>
    <w:rsid w:val="00AA7DC8"/>
    <w:rsid w:val="00AB1433"/>
    <w:rsid w:val="00AB1D90"/>
    <w:rsid w:val="00AB79E4"/>
    <w:rsid w:val="00AB7DF3"/>
    <w:rsid w:val="00AC27F7"/>
    <w:rsid w:val="00AD3CB0"/>
    <w:rsid w:val="00AD5774"/>
    <w:rsid w:val="00AD59F9"/>
    <w:rsid w:val="00AE1424"/>
    <w:rsid w:val="00AE1A80"/>
    <w:rsid w:val="00AE54E2"/>
    <w:rsid w:val="00AE55FC"/>
    <w:rsid w:val="00B021AB"/>
    <w:rsid w:val="00B0225F"/>
    <w:rsid w:val="00B13D06"/>
    <w:rsid w:val="00B214ED"/>
    <w:rsid w:val="00B3250A"/>
    <w:rsid w:val="00B32874"/>
    <w:rsid w:val="00B35C6A"/>
    <w:rsid w:val="00B36908"/>
    <w:rsid w:val="00B415B9"/>
    <w:rsid w:val="00B422AE"/>
    <w:rsid w:val="00B42853"/>
    <w:rsid w:val="00B44078"/>
    <w:rsid w:val="00B47E97"/>
    <w:rsid w:val="00B60DEB"/>
    <w:rsid w:val="00B64B5E"/>
    <w:rsid w:val="00B72E19"/>
    <w:rsid w:val="00B81A4E"/>
    <w:rsid w:val="00B91413"/>
    <w:rsid w:val="00B914D8"/>
    <w:rsid w:val="00BA023F"/>
    <w:rsid w:val="00BA6952"/>
    <w:rsid w:val="00BA7052"/>
    <w:rsid w:val="00BB40EF"/>
    <w:rsid w:val="00BC0054"/>
    <w:rsid w:val="00BC3117"/>
    <w:rsid w:val="00BC469C"/>
    <w:rsid w:val="00BD139B"/>
    <w:rsid w:val="00BD516B"/>
    <w:rsid w:val="00BD738A"/>
    <w:rsid w:val="00BE0A66"/>
    <w:rsid w:val="00BE12A9"/>
    <w:rsid w:val="00BE4476"/>
    <w:rsid w:val="00BE4E19"/>
    <w:rsid w:val="00BF68AD"/>
    <w:rsid w:val="00C01446"/>
    <w:rsid w:val="00C03557"/>
    <w:rsid w:val="00C12F77"/>
    <w:rsid w:val="00C16C11"/>
    <w:rsid w:val="00C16D4D"/>
    <w:rsid w:val="00C17BD8"/>
    <w:rsid w:val="00C262AC"/>
    <w:rsid w:val="00C31347"/>
    <w:rsid w:val="00C40C32"/>
    <w:rsid w:val="00C45298"/>
    <w:rsid w:val="00C81205"/>
    <w:rsid w:val="00C90F63"/>
    <w:rsid w:val="00CB05BC"/>
    <w:rsid w:val="00CB3001"/>
    <w:rsid w:val="00CB546C"/>
    <w:rsid w:val="00CC04D7"/>
    <w:rsid w:val="00CC23AB"/>
    <w:rsid w:val="00CC59C4"/>
    <w:rsid w:val="00CD521C"/>
    <w:rsid w:val="00CD57B1"/>
    <w:rsid w:val="00CE08D9"/>
    <w:rsid w:val="00CE1216"/>
    <w:rsid w:val="00CE1B25"/>
    <w:rsid w:val="00CE509E"/>
    <w:rsid w:val="00CE610C"/>
    <w:rsid w:val="00CE7AC6"/>
    <w:rsid w:val="00CF4F13"/>
    <w:rsid w:val="00D034EC"/>
    <w:rsid w:val="00D100A4"/>
    <w:rsid w:val="00D15A1F"/>
    <w:rsid w:val="00D16A3D"/>
    <w:rsid w:val="00D16A5D"/>
    <w:rsid w:val="00D20984"/>
    <w:rsid w:val="00D24FCE"/>
    <w:rsid w:val="00D42D96"/>
    <w:rsid w:val="00D46AA8"/>
    <w:rsid w:val="00D57E97"/>
    <w:rsid w:val="00D657AE"/>
    <w:rsid w:val="00D67D6C"/>
    <w:rsid w:val="00D71A77"/>
    <w:rsid w:val="00D7305C"/>
    <w:rsid w:val="00D76669"/>
    <w:rsid w:val="00D82AA4"/>
    <w:rsid w:val="00D836A1"/>
    <w:rsid w:val="00D86176"/>
    <w:rsid w:val="00D92FA7"/>
    <w:rsid w:val="00D9630A"/>
    <w:rsid w:val="00DB107E"/>
    <w:rsid w:val="00DB1E44"/>
    <w:rsid w:val="00DC3780"/>
    <w:rsid w:val="00DD2981"/>
    <w:rsid w:val="00DD6267"/>
    <w:rsid w:val="00DE106F"/>
    <w:rsid w:val="00DE7FAB"/>
    <w:rsid w:val="00DF1EE2"/>
    <w:rsid w:val="00E0171D"/>
    <w:rsid w:val="00E03C02"/>
    <w:rsid w:val="00E05012"/>
    <w:rsid w:val="00E06BBB"/>
    <w:rsid w:val="00E167E0"/>
    <w:rsid w:val="00E212A8"/>
    <w:rsid w:val="00E30EE0"/>
    <w:rsid w:val="00E414A4"/>
    <w:rsid w:val="00E42CAB"/>
    <w:rsid w:val="00E47632"/>
    <w:rsid w:val="00E50349"/>
    <w:rsid w:val="00E6174B"/>
    <w:rsid w:val="00E61E80"/>
    <w:rsid w:val="00E61F0F"/>
    <w:rsid w:val="00E71079"/>
    <w:rsid w:val="00E739F8"/>
    <w:rsid w:val="00E74452"/>
    <w:rsid w:val="00E84E0F"/>
    <w:rsid w:val="00E90569"/>
    <w:rsid w:val="00E90A38"/>
    <w:rsid w:val="00E96C2F"/>
    <w:rsid w:val="00EA372B"/>
    <w:rsid w:val="00EA705A"/>
    <w:rsid w:val="00EB5CCB"/>
    <w:rsid w:val="00EC1005"/>
    <w:rsid w:val="00ED0106"/>
    <w:rsid w:val="00EE3197"/>
    <w:rsid w:val="00EE3BB1"/>
    <w:rsid w:val="00EE7A00"/>
    <w:rsid w:val="00EF5DC0"/>
    <w:rsid w:val="00F016D9"/>
    <w:rsid w:val="00F05218"/>
    <w:rsid w:val="00F067FB"/>
    <w:rsid w:val="00F1084C"/>
    <w:rsid w:val="00F13ED0"/>
    <w:rsid w:val="00F23369"/>
    <w:rsid w:val="00F2355A"/>
    <w:rsid w:val="00F23586"/>
    <w:rsid w:val="00F23E87"/>
    <w:rsid w:val="00F379C3"/>
    <w:rsid w:val="00F45211"/>
    <w:rsid w:val="00F539F2"/>
    <w:rsid w:val="00F57887"/>
    <w:rsid w:val="00F61CA4"/>
    <w:rsid w:val="00F6797C"/>
    <w:rsid w:val="00F7038C"/>
    <w:rsid w:val="00F7171B"/>
    <w:rsid w:val="00F855A0"/>
    <w:rsid w:val="00F872C8"/>
    <w:rsid w:val="00F93E1D"/>
    <w:rsid w:val="00F95C9B"/>
    <w:rsid w:val="00FA0E61"/>
    <w:rsid w:val="00FB30B9"/>
    <w:rsid w:val="00FB711A"/>
    <w:rsid w:val="00FC5F5D"/>
    <w:rsid w:val="00FD27F0"/>
    <w:rsid w:val="00FE6772"/>
    <w:rsid w:val="00FF150D"/>
    <w:rsid w:val="00FF584D"/>
    <w:rsid w:val="07B84835"/>
    <w:rsid w:val="146511F7"/>
    <w:rsid w:val="164D2A95"/>
    <w:rsid w:val="1A5C2224"/>
    <w:rsid w:val="1CBF6BFD"/>
    <w:rsid w:val="1DA45C59"/>
    <w:rsid w:val="208D3D41"/>
    <w:rsid w:val="3B127817"/>
    <w:rsid w:val="3DAF6CA0"/>
    <w:rsid w:val="3F4748C8"/>
    <w:rsid w:val="40A240CD"/>
    <w:rsid w:val="4BFE141B"/>
    <w:rsid w:val="569C284B"/>
    <w:rsid w:val="5AAC37C1"/>
    <w:rsid w:val="5B4E4F41"/>
    <w:rsid w:val="5DE43A15"/>
    <w:rsid w:val="60527D03"/>
    <w:rsid w:val="63762779"/>
    <w:rsid w:val="653547E3"/>
    <w:rsid w:val="70776944"/>
    <w:rsid w:val="725F7ADF"/>
    <w:rsid w:val="75462D47"/>
    <w:rsid w:val="78DB5869"/>
    <w:rsid w:val="7A2C03CF"/>
    <w:rsid w:val="7D8A4C8E"/>
    <w:rsid w:val="7FED0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ind w:firstLine="200" w:firstLineChars="200"/>
      <w:jc w:val="both"/>
    </w:pPr>
    <w:rPr>
      <w:rFonts w:ascii="Times New Roman" w:hAnsi="Times New Roman" w:eastAsia="仿宋_GB2312" w:cstheme="minorBidi"/>
      <w:kern w:val="2"/>
      <w:sz w:val="32"/>
      <w:szCs w:val="22"/>
      <w:lang w:val="en-US" w:eastAsia="zh-CN" w:bidi="ar-SA"/>
    </w:rPr>
  </w:style>
  <w:style w:type="paragraph" w:styleId="2">
    <w:name w:val="heading 1"/>
    <w:basedOn w:val="1"/>
    <w:next w:val="1"/>
    <w:link w:val="20"/>
    <w:qFormat/>
    <w:uiPriority w:val="9"/>
    <w:pPr>
      <w:keepNext/>
      <w:keepLines/>
      <w:spacing w:before="340" w:after="330" w:line="680" w:lineRule="exact"/>
      <w:jc w:val="center"/>
      <w:outlineLvl w:val="0"/>
    </w:pPr>
    <w:rPr>
      <w:rFonts w:eastAsia="宋体"/>
      <w:b/>
      <w:bCs/>
      <w:kern w:val="44"/>
      <w:sz w:val="36"/>
      <w:szCs w:val="44"/>
    </w:rPr>
  </w:style>
  <w:style w:type="paragraph" w:styleId="3">
    <w:name w:val="heading 2"/>
    <w:basedOn w:val="1"/>
    <w:next w:val="1"/>
    <w:link w:val="21"/>
    <w:unhideWhenUsed/>
    <w:qFormat/>
    <w:uiPriority w:val="9"/>
    <w:pPr>
      <w:keepNext/>
      <w:keepLines/>
      <w:spacing w:before="100" w:beforeAutospacing="1" w:after="100" w:afterAutospacing="1"/>
      <w:ind w:firstLine="0" w:firstLineChars="0"/>
      <w:outlineLvl w:val="1"/>
    </w:pPr>
    <w:rPr>
      <w:rFonts w:eastAsia="黑体" w:asciiTheme="majorHAnsi" w:hAnsiTheme="majorHAnsi" w:cstheme="majorBidi"/>
      <w:bCs/>
      <w:szCs w:val="32"/>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41"/>
    <w:semiHidden/>
    <w:unhideWhenUsed/>
    <w:qFormat/>
    <w:uiPriority w:val="99"/>
    <w:pPr>
      <w:jc w:val="left"/>
    </w:pPr>
  </w:style>
  <w:style w:type="paragraph" w:styleId="5">
    <w:name w:val="toc 3"/>
    <w:basedOn w:val="1"/>
    <w:next w:val="1"/>
    <w:unhideWhenUsed/>
    <w:qFormat/>
    <w:uiPriority w:val="39"/>
    <w:pPr>
      <w:widowControl/>
      <w:spacing w:after="100" w:line="259" w:lineRule="auto"/>
      <w:ind w:left="440"/>
      <w:jc w:val="left"/>
    </w:pPr>
    <w:rPr>
      <w:rFonts w:cs="Times New Roman"/>
      <w:kern w:val="0"/>
      <w:sz w:val="22"/>
    </w:rPr>
  </w:style>
  <w:style w:type="paragraph" w:styleId="6">
    <w:name w:val="Balloon Text"/>
    <w:basedOn w:val="1"/>
    <w:link w:val="43"/>
    <w:semiHidden/>
    <w:unhideWhenUsed/>
    <w:qFormat/>
    <w:uiPriority w:val="99"/>
    <w:pPr>
      <w:spacing w:line="240" w:lineRule="auto"/>
    </w:pPr>
    <w:rPr>
      <w:sz w:val="18"/>
      <w:szCs w:val="18"/>
    </w:rPr>
  </w:style>
  <w:style w:type="paragraph" w:styleId="7">
    <w:name w:val="footer"/>
    <w:basedOn w:val="1"/>
    <w:link w:val="24"/>
    <w:unhideWhenUsed/>
    <w:qFormat/>
    <w:uiPriority w:val="99"/>
    <w:pPr>
      <w:tabs>
        <w:tab w:val="center" w:pos="4153"/>
        <w:tab w:val="right" w:pos="8306"/>
      </w:tabs>
      <w:snapToGrid w:val="0"/>
      <w:jc w:val="left"/>
    </w:pPr>
    <w:rPr>
      <w:rFonts w:eastAsia="宋体" w:cs="Times New Roman"/>
      <w:sz w:val="18"/>
      <w:szCs w:val="18"/>
    </w:rPr>
  </w:style>
  <w:style w:type="paragraph" w:styleId="8">
    <w:name w:val="header"/>
    <w:basedOn w:val="1"/>
    <w:link w:val="44"/>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9">
    <w:name w:val="toc 1"/>
    <w:basedOn w:val="1"/>
    <w:next w:val="1"/>
    <w:unhideWhenUsed/>
    <w:qFormat/>
    <w:uiPriority w:val="39"/>
    <w:pPr>
      <w:widowControl/>
      <w:ind w:firstLine="0" w:firstLineChars="0"/>
      <w:jc w:val="left"/>
    </w:pPr>
    <w:rPr>
      <w:rFonts w:eastAsia="方正小标宋简体" w:cs="Times New Roman"/>
      <w:kern w:val="0"/>
    </w:rPr>
  </w:style>
  <w:style w:type="paragraph" w:styleId="10">
    <w:name w:val="toc 2"/>
    <w:basedOn w:val="1"/>
    <w:next w:val="1"/>
    <w:unhideWhenUsed/>
    <w:qFormat/>
    <w:uiPriority w:val="39"/>
    <w:pPr>
      <w:widowControl/>
      <w:ind w:firstLine="100" w:firstLineChars="100"/>
      <w:jc w:val="left"/>
    </w:pPr>
    <w:rPr>
      <w:rFonts w:cs="Times New Roman"/>
      <w:kern w:val="0"/>
      <w:sz w:val="30"/>
    </w:rPr>
  </w:style>
  <w:style w:type="paragraph" w:styleId="11">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2">
    <w:name w:val="annotation subject"/>
    <w:basedOn w:val="4"/>
    <w:next w:val="4"/>
    <w:link w:val="42"/>
    <w:semiHidden/>
    <w:unhideWhenUsed/>
    <w:qFormat/>
    <w:uiPriority w:val="99"/>
    <w:rPr>
      <w:b/>
      <w:bCs/>
    </w:rPr>
  </w:style>
  <w:style w:type="table" w:styleId="14">
    <w:name w:val="Table Grid"/>
    <w:basedOn w:val="13"/>
    <w:qFormat/>
    <w:uiPriority w:val="0"/>
    <w:rPr>
      <w:rFonts w:ascii="Calibri" w:hAnsi="Calibri" w:cs="Calibri"/>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page number"/>
    <w:qFormat/>
    <w:uiPriority w:val="99"/>
    <w:rPr>
      <w:rFonts w:cs="Times New Roman"/>
    </w:rPr>
  </w:style>
  <w:style w:type="character" w:styleId="18">
    <w:name w:val="Hyperlink"/>
    <w:basedOn w:val="15"/>
    <w:unhideWhenUsed/>
    <w:qFormat/>
    <w:uiPriority w:val="99"/>
    <w:rPr>
      <w:color w:val="0563C1" w:themeColor="hyperlink"/>
      <w:u w:val="single"/>
      <w14:textFill>
        <w14:solidFill>
          <w14:schemeClr w14:val="hlink"/>
        </w14:solidFill>
      </w14:textFill>
    </w:rPr>
  </w:style>
  <w:style w:type="character" w:styleId="19">
    <w:name w:val="annotation reference"/>
    <w:basedOn w:val="15"/>
    <w:semiHidden/>
    <w:unhideWhenUsed/>
    <w:qFormat/>
    <w:uiPriority w:val="99"/>
    <w:rPr>
      <w:sz w:val="21"/>
      <w:szCs w:val="21"/>
    </w:rPr>
  </w:style>
  <w:style w:type="character" w:customStyle="1" w:styleId="20">
    <w:name w:val="标题 1 字符"/>
    <w:basedOn w:val="15"/>
    <w:link w:val="2"/>
    <w:qFormat/>
    <w:uiPriority w:val="9"/>
    <w:rPr>
      <w:rFonts w:eastAsia="宋体"/>
      <w:b/>
      <w:bCs/>
      <w:kern w:val="44"/>
      <w:sz w:val="36"/>
      <w:szCs w:val="44"/>
    </w:rPr>
  </w:style>
  <w:style w:type="character" w:customStyle="1" w:styleId="21">
    <w:name w:val="标题 2 字符"/>
    <w:basedOn w:val="15"/>
    <w:link w:val="3"/>
    <w:qFormat/>
    <w:uiPriority w:val="9"/>
    <w:rPr>
      <w:rFonts w:eastAsia="黑体" w:asciiTheme="majorHAnsi" w:hAnsiTheme="majorHAnsi" w:cstheme="majorBidi"/>
      <w:bCs/>
      <w:sz w:val="32"/>
      <w:szCs w:val="32"/>
    </w:rPr>
  </w:style>
  <w:style w:type="paragraph" w:styleId="22">
    <w:name w:val="List Paragraph"/>
    <w:basedOn w:val="1"/>
    <w:qFormat/>
    <w:uiPriority w:val="34"/>
    <w:pPr>
      <w:ind w:firstLine="420"/>
    </w:pPr>
  </w:style>
  <w:style w:type="paragraph" w:customStyle="1" w:styleId="2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4">
    <w:name w:val="页脚 字符"/>
    <w:basedOn w:val="15"/>
    <w:link w:val="7"/>
    <w:qFormat/>
    <w:uiPriority w:val="99"/>
    <w:rPr>
      <w:rFonts w:ascii="Times New Roman" w:hAnsi="Times New Roman" w:eastAsia="宋体" w:cs="Times New Roman"/>
      <w:sz w:val="18"/>
      <w:szCs w:val="18"/>
    </w:rPr>
  </w:style>
  <w:style w:type="paragraph" w:customStyle="1" w:styleId="25">
    <w:name w:val="章标题"/>
    <w:next w:val="26"/>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6">
    <w:name w:val="段"/>
    <w:link w:val="27"/>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7">
    <w:name w:val="段 Char"/>
    <w:basedOn w:val="15"/>
    <w:link w:val="26"/>
    <w:qFormat/>
    <w:uiPriority w:val="99"/>
    <w:rPr>
      <w:rFonts w:ascii="宋体" w:hAnsi="Times New Roman" w:eastAsia="宋体" w:cs="Times New Roman"/>
      <w:kern w:val="0"/>
      <w:szCs w:val="20"/>
    </w:rPr>
  </w:style>
  <w:style w:type="paragraph" w:customStyle="1" w:styleId="28">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29">
    <w:name w:val="_Style 3"/>
    <w:basedOn w:val="1"/>
    <w:qFormat/>
    <w:uiPriority w:val="34"/>
    <w:pPr>
      <w:widowControl/>
      <w:ind w:firstLine="420"/>
    </w:pPr>
    <w:rPr>
      <w:rFonts w:eastAsia="宋体" w:cs="Times New Roman"/>
      <w:szCs w:val="24"/>
    </w:rPr>
  </w:style>
  <w:style w:type="paragraph" w:customStyle="1" w:styleId="30">
    <w:name w:val="附录章标题"/>
    <w:next w:val="1"/>
    <w:qFormat/>
    <w:uiPriority w:val="0"/>
    <w:pPr>
      <w:numPr>
        <w:ilvl w:val="1"/>
        <w:numId w:val="2"/>
      </w:num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character" w:customStyle="1" w:styleId="31">
    <w:name w:val="font41"/>
    <w:basedOn w:val="15"/>
    <w:qFormat/>
    <w:uiPriority w:val="0"/>
    <w:rPr>
      <w:rFonts w:hint="eastAsia" w:ascii="宋体" w:hAnsi="宋体" w:eastAsia="宋体" w:cs="宋体"/>
      <w:color w:val="000000"/>
      <w:sz w:val="21"/>
      <w:szCs w:val="21"/>
      <w:u w:val="none"/>
    </w:rPr>
  </w:style>
  <w:style w:type="character" w:customStyle="1" w:styleId="32">
    <w:name w:val="font21"/>
    <w:basedOn w:val="15"/>
    <w:qFormat/>
    <w:uiPriority w:val="0"/>
    <w:rPr>
      <w:rFonts w:hint="eastAsia" w:ascii="宋体" w:hAnsi="宋体" w:eastAsia="宋体" w:cs="宋体"/>
      <w:color w:val="000000"/>
      <w:sz w:val="21"/>
      <w:szCs w:val="21"/>
      <w:u w:val="none"/>
    </w:rPr>
  </w:style>
  <w:style w:type="paragraph" w:customStyle="1" w:styleId="33">
    <w:name w:val="一级条标题"/>
    <w:next w:val="26"/>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34">
    <w:name w:val="二级条标题"/>
    <w:basedOn w:val="33"/>
    <w:next w:val="26"/>
    <w:qFormat/>
    <w:uiPriority w:val="0"/>
    <w:pPr>
      <w:spacing w:before="50" w:after="50"/>
      <w:outlineLvl w:val="3"/>
    </w:pPr>
  </w:style>
  <w:style w:type="paragraph" w:customStyle="1" w:styleId="35">
    <w:name w:val="三级条标题"/>
    <w:basedOn w:val="34"/>
    <w:next w:val="26"/>
    <w:qFormat/>
    <w:uiPriority w:val="0"/>
    <w:pPr>
      <w:outlineLvl w:val="4"/>
    </w:pPr>
  </w:style>
  <w:style w:type="paragraph" w:customStyle="1" w:styleId="36">
    <w:name w:val="数字编号列项（二级）"/>
    <w:qFormat/>
    <w:uiPriority w:val="0"/>
    <w:pPr>
      <w:numPr>
        <w:ilvl w:val="1"/>
        <w:numId w:val="3"/>
      </w:numPr>
      <w:jc w:val="both"/>
    </w:pPr>
    <w:rPr>
      <w:rFonts w:ascii="宋体" w:hAnsi="Times New Roman" w:eastAsia="宋体" w:cs="Times New Roman"/>
      <w:sz w:val="21"/>
      <w:lang w:val="en-US" w:eastAsia="zh-CN" w:bidi="ar-SA"/>
    </w:rPr>
  </w:style>
  <w:style w:type="paragraph" w:customStyle="1" w:styleId="37">
    <w:name w:val="四级条标题"/>
    <w:basedOn w:val="35"/>
    <w:next w:val="26"/>
    <w:qFormat/>
    <w:uiPriority w:val="0"/>
    <w:pPr>
      <w:outlineLvl w:val="5"/>
    </w:pPr>
  </w:style>
  <w:style w:type="paragraph" w:customStyle="1" w:styleId="38">
    <w:name w:val="五级条标题"/>
    <w:basedOn w:val="37"/>
    <w:next w:val="26"/>
    <w:qFormat/>
    <w:uiPriority w:val="0"/>
    <w:pPr>
      <w:outlineLvl w:val="6"/>
    </w:pPr>
  </w:style>
  <w:style w:type="paragraph" w:customStyle="1" w:styleId="39">
    <w:name w:val="字母编号列项（一级）"/>
    <w:qFormat/>
    <w:uiPriority w:val="0"/>
    <w:pPr>
      <w:numPr>
        <w:ilvl w:val="0"/>
        <w:numId w:val="3"/>
      </w:numPr>
      <w:jc w:val="both"/>
    </w:pPr>
    <w:rPr>
      <w:rFonts w:ascii="宋体" w:hAnsi="Times New Roman" w:eastAsia="宋体" w:cs="Times New Roman"/>
      <w:sz w:val="21"/>
      <w:lang w:val="en-US" w:eastAsia="zh-CN" w:bidi="ar-SA"/>
    </w:rPr>
  </w:style>
  <w:style w:type="paragraph" w:customStyle="1" w:styleId="40">
    <w:name w:val="编号列项（三级）"/>
    <w:qFormat/>
    <w:uiPriority w:val="0"/>
    <w:pPr>
      <w:numPr>
        <w:ilvl w:val="2"/>
        <w:numId w:val="3"/>
      </w:numPr>
    </w:pPr>
    <w:rPr>
      <w:rFonts w:ascii="宋体" w:hAnsi="Times New Roman" w:eastAsia="宋体" w:cs="Times New Roman"/>
      <w:sz w:val="21"/>
      <w:lang w:val="en-US" w:eastAsia="zh-CN" w:bidi="ar-SA"/>
    </w:rPr>
  </w:style>
  <w:style w:type="character" w:customStyle="1" w:styleId="41">
    <w:name w:val="批注文字 字符"/>
    <w:basedOn w:val="15"/>
    <w:link w:val="4"/>
    <w:semiHidden/>
    <w:qFormat/>
    <w:uiPriority w:val="99"/>
    <w:rPr>
      <w:rFonts w:eastAsia="仿宋_GB2312"/>
      <w:sz w:val="32"/>
    </w:rPr>
  </w:style>
  <w:style w:type="character" w:customStyle="1" w:styleId="42">
    <w:name w:val="批注主题 字符"/>
    <w:basedOn w:val="41"/>
    <w:link w:val="12"/>
    <w:semiHidden/>
    <w:qFormat/>
    <w:uiPriority w:val="99"/>
    <w:rPr>
      <w:rFonts w:eastAsia="仿宋_GB2312"/>
      <w:b/>
      <w:bCs/>
      <w:sz w:val="32"/>
    </w:rPr>
  </w:style>
  <w:style w:type="character" w:customStyle="1" w:styleId="43">
    <w:name w:val="批注框文本 字符"/>
    <w:basedOn w:val="15"/>
    <w:link w:val="6"/>
    <w:semiHidden/>
    <w:qFormat/>
    <w:uiPriority w:val="99"/>
    <w:rPr>
      <w:rFonts w:eastAsia="仿宋_GB2312"/>
      <w:sz w:val="18"/>
      <w:szCs w:val="18"/>
    </w:rPr>
  </w:style>
  <w:style w:type="character" w:customStyle="1" w:styleId="44">
    <w:name w:val="页眉 字符"/>
    <w:basedOn w:val="15"/>
    <w:link w:val="8"/>
    <w:qFormat/>
    <w:uiPriority w:val="99"/>
    <w:rPr>
      <w:rFonts w:eastAsia="仿宋_GB2312"/>
      <w:sz w:val="18"/>
      <w:szCs w:val="18"/>
    </w:rPr>
  </w:style>
  <w:style w:type="paragraph" w:customStyle="1" w:styleId="45">
    <w:name w:val="修订1"/>
    <w:hidden/>
    <w:semiHidden/>
    <w:qFormat/>
    <w:uiPriority w:val="99"/>
    <w:rPr>
      <w:rFonts w:eastAsia="仿宋_GB2312" w:asciiTheme="minorHAnsi" w:hAnsiTheme="minorHAnsi" w:cstheme="minorBidi"/>
      <w:kern w:val="2"/>
      <w:sz w:val="32"/>
      <w:szCs w:val="22"/>
      <w:lang w:val="en-US" w:eastAsia="zh-CN" w:bidi="ar-SA"/>
    </w:rPr>
  </w:style>
  <w:style w:type="character" w:customStyle="1" w:styleId="46">
    <w:name w:val="font81"/>
    <w:basedOn w:val="15"/>
    <w:uiPriority w:val="0"/>
    <w:rPr>
      <w:rFonts w:hint="eastAsia" w:ascii="宋体" w:hAnsi="宋体" w:eastAsia="宋体" w:cs="宋体"/>
      <w:color w:val="000000"/>
      <w:sz w:val="22"/>
      <w:szCs w:val="22"/>
      <w:u w:val="none"/>
    </w:rPr>
  </w:style>
  <w:style w:type="character" w:customStyle="1" w:styleId="47">
    <w:name w:val="font31"/>
    <w:basedOn w:val="15"/>
    <w:uiPriority w:val="0"/>
    <w:rPr>
      <w:rFonts w:hint="eastAsia" w:ascii="宋体" w:hAnsi="宋体" w:eastAsia="宋体" w:cs="宋体"/>
      <w:color w:val="000000"/>
      <w:sz w:val="22"/>
      <w:szCs w:val="22"/>
      <w:u w:val="none"/>
    </w:rPr>
  </w:style>
  <w:style w:type="character" w:customStyle="1" w:styleId="48">
    <w:name w:val="font141"/>
    <w:basedOn w:val="15"/>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3B0DC2-F024-4B36-8BA6-B2C141A33000}">
  <ds:schemaRefs/>
</ds:datastoreItem>
</file>

<file path=docProps/app.xml><?xml version="1.0" encoding="utf-8"?>
<Properties xmlns="http://schemas.openxmlformats.org/officeDocument/2006/extended-properties" xmlns:vt="http://schemas.openxmlformats.org/officeDocument/2006/docPropsVTypes">
  <Template>Normal.dotm</Template>
  <Pages>1</Pages>
  <Words>4582</Words>
  <Characters>26124</Characters>
  <Lines>217</Lines>
  <Paragraphs>61</Paragraphs>
  <TotalTime>14</TotalTime>
  <ScaleCrop>false</ScaleCrop>
  <LinksUpToDate>false</LinksUpToDate>
  <CharactersWithSpaces>30645</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2021-08-20T07:40:00Z</dcterms:created>
  <dc:creator>yu jiajun</dc:creator>
  <cp:lastModifiedBy>田萌芽</cp:lastModifiedBy>
  <cp:lastPrinted>2021-08-17T00:45:00Z</cp:lastPrinted>
  <dcterms:modified xsi:type="dcterms:W3CDTF">2025-04-25T07:49:00Z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A284AF09C8E94E749D438D3C6CD90262</vt:lpwstr>
  </property>
</Properties>
</file>