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-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6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-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简体" w:hAnsi="Calibri" w:eastAsia="方正小标宋简体"/>
          <w:color w:val="auto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Calibri" w:eastAsia="方正小标宋简体" w:cs="Times New Roman"/>
          <w:b w:val="0"/>
          <w:bCs w:val="0"/>
          <w:spacing w:val="-6"/>
          <w:sz w:val="44"/>
          <w:szCs w:val="44"/>
          <w:lang w:eastAsia="zh-CN"/>
        </w:rPr>
        <w:t>浙江</w:t>
      </w:r>
      <w:r>
        <w:rPr>
          <w:rFonts w:hint="eastAsia" w:ascii="方正小标宋简体" w:hAnsi="Calibri" w:eastAsia="方正小标宋简体" w:cs="Times New Roman"/>
          <w:b w:val="0"/>
          <w:bCs w:val="0"/>
          <w:spacing w:val="-6"/>
          <w:sz w:val="44"/>
          <w:szCs w:val="44"/>
        </w:rPr>
        <w:t>省</w:t>
      </w:r>
      <w:r>
        <w:rPr>
          <w:rFonts w:hint="eastAsia" w:ascii="方正小标宋简体" w:hAnsi="Calibri" w:eastAsia="方正小标宋简体" w:cs="Times New Roman"/>
          <w:b w:val="0"/>
          <w:bCs w:val="0"/>
          <w:spacing w:val="-6"/>
          <w:sz w:val="44"/>
          <w:szCs w:val="44"/>
          <w:lang w:val="en-US" w:eastAsia="zh-CN"/>
        </w:rPr>
        <w:t>衢州市</w:t>
      </w:r>
      <w:r>
        <w:rPr>
          <w:rFonts w:hint="eastAsia" w:ascii="方正小标宋简体" w:hAnsi="Calibri" w:eastAsia="方正小标宋简体"/>
          <w:color w:val="auto"/>
          <w:spacing w:val="-6"/>
          <w:sz w:val="44"/>
          <w:szCs w:val="44"/>
        </w:rPr>
        <w:t>202</w:t>
      </w:r>
      <w:r>
        <w:rPr>
          <w:rFonts w:hint="eastAsia" w:ascii="方正小标宋简体" w:hAnsi="Calibri" w:eastAsia="方正小标宋简体"/>
          <w:color w:val="auto"/>
          <w:spacing w:val="-6"/>
          <w:sz w:val="44"/>
          <w:szCs w:val="44"/>
          <w:lang w:val="en-US" w:eastAsia="zh-CN"/>
        </w:rPr>
        <w:t>3</w:t>
      </w:r>
      <w:r>
        <w:rPr>
          <w:rFonts w:hint="eastAsia" w:ascii="方正小标宋简体" w:hAnsi="Calibri" w:eastAsia="方正小标宋简体"/>
          <w:color w:val="auto"/>
          <w:spacing w:val="-6"/>
          <w:sz w:val="44"/>
          <w:szCs w:val="44"/>
        </w:rPr>
        <w:t>年中央</w:t>
      </w:r>
      <w:r>
        <w:rPr>
          <w:rFonts w:hint="eastAsia" w:ascii="方正小标宋简体" w:hAnsi="Calibri" w:eastAsia="方正小标宋简体"/>
          <w:color w:val="auto"/>
          <w:spacing w:val="-6"/>
          <w:sz w:val="44"/>
          <w:szCs w:val="44"/>
          <w:lang w:val="en-US" w:eastAsia="zh-CN"/>
        </w:rPr>
        <w:t>油茶产业发展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简体" w:hAnsi="Calibri" w:eastAsia="方正小标宋简体" w:cs="Times New Roman"/>
          <w:b w:val="0"/>
          <w:bCs w:val="0"/>
          <w:spacing w:val="-6"/>
          <w:sz w:val="44"/>
          <w:szCs w:val="44"/>
        </w:rPr>
      </w:pPr>
      <w:r>
        <w:rPr>
          <w:rFonts w:hint="eastAsia" w:ascii="方正小标宋简体" w:hAnsi="Calibri" w:eastAsia="方正小标宋简体"/>
          <w:color w:val="auto"/>
          <w:spacing w:val="-6"/>
          <w:sz w:val="44"/>
          <w:szCs w:val="44"/>
          <w:lang w:val="en-US" w:eastAsia="zh-CN"/>
        </w:rPr>
        <w:t>示范奖补项目</w:t>
      </w:r>
      <w:r>
        <w:rPr>
          <w:rFonts w:hint="default" w:ascii="方正小标宋简体" w:hAnsi="Calibri" w:eastAsia="方正小标宋简体"/>
          <w:color w:val="auto"/>
          <w:spacing w:val="-6"/>
          <w:sz w:val="44"/>
          <w:szCs w:val="44"/>
          <w:lang w:eastAsia="zh-CN"/>
        </w:rPr>
        <w:t>资金</w:t>
      </w:r>
      <w:r>
        <w:rPr>
          <w:rFonts w:hint="eastAsia" w:ascii="方正小标宋简体" w:hAnsi="Calibri" w:eastAsia="方正小标宋简体"/>
          <w:spacing w:val="-6"/>
          <w:sz w:val="44"/>
          <w:szCs w:val="44"/>
          <w:lang w:val="en-US" w:eastAsia="zh-CN"/>
        </w:rPr>
        <w:t>绩效</w:t>
      </w:r>
      <w:r>
        <w:rPr>
          <w:rFonts w:hint="eastAsia" w:ascii="方正小标宋简体" w:hAnsi="Calibri" w:eastAsia="方正小标宋简体" w:cs="Times New Roman"/>
          <w:b w:val="0"/>
          <w:bCs w:val="0"/>
          <w:spacing w:val="-6"/>
          <w:sz w:val="44"/>
          <w:szCs w:val="44"/>
        </w:rPr>
        <w:t>自评报告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bCs w:val="0"/>
          <w:color w:val="auto"/>
          <w:kern w:val="0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根据</w:t>
      </w:r>
      <w:r>
        <w:rPr>
          <w:rFonts w:hint="eastAsia" w:ascii="仿宋_GB2312" w:hAnsi="Calibri" w:eastAsia="仿宋_GB2312"/>
          <w:color w:val="auto"/>
          <w:kern w:val="0"/>
          <w:sz w:val="32"/>
          <w:szCs w:val="32"/>
        </w:rPr>
        <w:t>《财政部关于开展202</w:t>
      </w:r>
      <w:r>
        <w:rPr>
          <w:rFonts w:hint="eastAsia" w:ascii="仿宋_GB2312" w:hAnsi="Calibri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/>
          <w:color w:val="auto"/>
          <w:kern w:val="0"/>
          <w:sz w:val="32"/>
          <w:szCs w:val="32"/>
        </w:rPr>
        <w:t>年度中央对地方转移支付预算执行情况绩效自评工作的通知》（财监〔202</w:t>
      </w:r>
      <w:r>
        <w:rPr>
          <w:rFonts w:hint="eastAsia" w:ascii="仿宋_GB2312" w:hAnsi="Calibri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Calibri" w:eastAsia="仿宋_GB2312"/>
          <w:color w:val="auto"/>
          <w:kern w:val="0"/>
          <w:sz w:val="32"/>
          <w:szCs w:val="32"/>
        </w:rPr>
        <w:t>〕</w:t>
      </w:r>
      <w:r>
        <w:rPr>
          <w:rFonts w:hint="eastAsia" w:ascii="仿宋_GB2312" w:hAnsi="Calibri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/>
          <w:color w:val="auto"/>
          <w:kern w:val="0"/>
          <w:sz w:val="32"/>
          <w:szCs w:val="32"/>
        </w:rPr>
        <w:t>号）</w:t>
      </w:r>
      <w:r>
        <w:rPr>
          <w:rFonts w:hint="eastAsia" w:ascii="仿宋_GB2312" w:hAnsi="Calibri"/>
          <w:color w:val="auto"/>
          <w:kern w:val="0"/>
          <w:sz w:val="32"/>
          <w:szCs w:val="32"/>
          <w:lang w:val="en-US" w:eastAsia="zh-CN"/>
        </w:rPr>
        <w:t>有关</w:t>
      </w:r>
      <w:r>
        <w:rPr>
          <w:rFonts w:hint="eastAsia" w:ascii="仿宋_GB2312" w:hAnsi="Calibri" w:eastAsia="仿宋_GB2312"/>
          <w:color w:val="auto"/>
          <w:kern w:val="0"/>
          <w:sz w:val="32"/>
          <w:szCs w:val="32"/>
        </w:rPr>
        <w:t>要求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，省林业局联合省财政厅下发《关于开展2023年度中央对地方林业转移支付预算执行情况绩效自评工作的通知》（浙林规〔2024〕17号），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组织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对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浙江省衢州市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年中央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油茶产业发展示范奖补项目</w:t>
      </w:r>
      <w:r>
        <w:rPr>
          <w:rFonts w:hint="default" w:ascii="仿宋_GB2312" w:hAnsi="Calibri" w:cs="Times New Roman"/>
          <w:color w:val="auto"/>
          <w:kern w:val="0"/>
          <w:sz w:val="32"/>
          <w:szCs w:val="32"/>
          <w:lang w:eastAsia="zh-CN"/>
        </w:rPr>
        <w:t>资金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进行绩效自评。经审核汇总，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eastAsia="zh-CN"/>
        </w:rPr>
        <w:t>形成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2023年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中央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油茶产业发展示范奖补项目</w:t>
      </w:r>
      <w:r>
        <w:rPr>
          <w:rFonts w:hint="default" w:ascii="仿宋_GB2312" w:hAnsi="Calibri" w:cs="Times New Roman"/>
          <w:color w:val="auto"/>
          <w:kern w:val="0"/>
          <w:sz w:val="32"/>
          <w:szCs w:val="32"/>
          <w:lang w:eastAsia="zh-CN"/>
        </w:rPr>
        <w:t>资金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区域绩效目标自评表和绩效自评报告。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绩效目标分解下达情况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hint="eastAsia" w:ascii="仿宋_GB2312" w:hAnsi="Calibri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中央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于2023年11月通过《财政部关于下达2023年林业草原改革发展资金预算（第四批）的通知》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（财资环〔202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〕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119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号）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下达我省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年中央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油茶产业发展示范奖补项目资金12000万元。省林业局联合省财政厅于2023年12月通过《浙江省财政厅 浙江省林业局关于下达2023年中央林业草原改革发展资金预算（第四批）的通知》(</w:t>
      </w:r>
      <w:r>
        <w:rPr>
          <w:rFonts w:hint="eastAsia" w:ascii="仿宋_GB2312" w:hAnsi="Calibri"/>
          <w:color w:val="auto"/>
          <w:kern w:val="0"/>
          <w:sz w:val="32"/>
          <w:szCs w:val="32"/>
        </w:rPr>
        <w:t>浙财资环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〔202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〕</w:t>
      </w:r>
      <w:r>
        <w:rPr>
          <w:rFonts w:hint="eastAsia" w:ascii="仿宋_GB2312" w:hAnsi="Calibri"/>
          <w:color w:val="auto"/>
          <w:kern w:val="0"/>
          <w:sz w:val="32"/>
          <w:szCs w:val="32"/>
        </w:rPr>
        <w:t>79号</w:t>
      </w:r>
      <w:r>
        <w:rPr>
          <w:rFonts w:hint="eastAsia" w:ascii="仿宋_GB2312" w:hAnsi="Calibri"/>
          <w:color w:val="auto"/>
          <w:kern w:val="0"/>
          <w:sz w:val="32"/>
          <w:szCs w:val="32"/>
          <w:lang w:val="en-US" w:eastAsia="zh-CN"/>
        </w:rPr>
        <w:t>)文件</w:t>
      </w:r>
      <w:r>
        <w:rPr>
          <w:rFonts w:hint="eastAsia" w:ascii="仿宋_GB2312" w:hAnsi="Calibri"/>
          <w:color w:val="auto"/>
          <w:kern w:val="0"/>
          <w:sz w:val="32"/>
          <w:szCs w:val="32"/>
        </w:rPr>
        <w:t>将上述资金</w:t>
      </w:r>
      <w:r>
        <w:rPr>
          <w:rFonts w:hint="eastAsia" w:ascii="仿宋_GB2312" w:hAnsi="Calibri"/>
          <w:color w:val="auto"/>
          <w:kern w:val="0"/>
          <w:sz w:val="32"/>
          <w:szCs w:val="32"/>
          <w:lang w:val="en-US" w:eastAsia="zh-CN"/>
        </w:rPr>
        <w:t>和</w:t>
      </w:r>
      <w:r>
        <w:rPr>
          <w:rFonts w:hint="eastAsia" w:ascii="仿宋_GB2312" w:hAnsi="Calibri"/>
          <w:color w:val="auto"/>
          <w:kern w:val="0"/>
          <w:sz w:val="32"/>
          <w:szCs w:val="32"/>
        </w:rPr>
        <w:t>绩效目标下达至衢州市</w:t>
      </w:r>
      <w:r>
        <w:rPr>
          <w:rFonts w:hint="eastAsia" w:ascii="仿宋_GB2312" w:hAnsi="Calibri"/>
          <w:color w:val="auto"/>
          <w:kern w:val="0"/>
          <w:sz w:val="32"/>
          <w:szCs w:val="32"/>
          <w:lang w:val="en-US" w:eastAsia="zh-CN"/>
        </w:rPr>
        <w:t>本级</w:t>
      </w:r>
      <w:r>
        <w:rPr>
          <w:rFonts w:hint="eastAsia" w:ascii="仿宋_GB2312" w:hAnsi="Calibri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Calibri"/>
          <w:color w:val="auto"/>
          <w:kern w:val="0"/>
          <w:sz w:val="32"/>
          <w:szCs w:val="32"/>
          <w:lang w:val="en-US" w:eastAsia="zh-CN"/>
        </w:rPr>
        <w:t>衢州市收到资金文件后，于2024年1月将资金和绩效目标及时分解下达至6个县（市、区），分解下达的资金和区域绩效目标与中央下达我省的一致。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outlineLvl w:val="9"/>
        <w:rPr>
          <w:rFonts w:hint="eastAsia" w:ascii="楷体_GB2312" w:hAnsi="仿宋_GB2312" w:eastAsia="楷体_GB2312" w:cs="仿宋_GB2312"/>
          <w:bCs/>
          <w:color w:val="auto"/>
          <w:kern w:val="0"/>
          <w:sz w:val="32"/>
          <w:szCs w:val="32"/>
        </w:rPr>
      </w:pP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浙江省衢州市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年中央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油茶产业发展示范奖补项目</w:t>
      </w:r>
      <w:r>
        <w:rPr>
          <w:rFonts w:hint="eastAsia" w:ascii="仿宋_GB2312" w:hAnsi="Calibri"/>
          <w:color w:val="auto"/>
          <w:kern w:val="0"/>
          <w:sz w:val="32"/>
          <w:szCs w:val="32"/>
        </w:rPr>
        <w:t>实施期为5年，</w:t>
      </w:r>
      <w:r>
        <w:rPr>
          <w:rFonts w:hint="eastAsia" w:ascii="仿宋_GB2312" w:hAnsi="Calibri"/>
          <w:color w:val="auto"/>
          <w:kern w:val="0"/>
          <w:sz w:val="32"/>
          <w:szCs w:val="32"/>
          <w:lang w:val="en-US" w:eastAsia="zh-CN"/>
        </w:rPr>
        <w:t>2023</w:t>
      </w:r>
      <w:r>
        <w:rPr>
          <w:rFonts w:hint="eastAsia" w:ascii="仿宋_GB2312" w:hAnsi="Calibri"/>
          <w:color w:val="auto"/>
          <w:kern w:val="0"/>
          <w:sz w:val="32"/>
          <w:szCs w:val="32"/>
        </w:rPr>
        <w:t>年度绩效</w:t>
      </w:r>
      <w:r>
        <w:rPr>
          <w:rFonts w:hint="eastAsia" w:ascii="仿宋_GB2312" w:hAnsi="Calibri"/>
          <w:color w:val="auto"/>
          <w:kern w:val="0"/>
          <w:sz w:val="32"/>
          <w:szCs w:val="32"/>
          <w:lang w:val="en-US" w:eastAsia="zh-CN"/>
        </w:rPr>
        <w:t>指标值</w:t>
      </w:r>
      <w:r>
        <w:rPr>
          <w:rFonts w:hint="eastAsia" w:ascii="仿宋_GB2312" w:hAnsi="Calibri"/>
          <w:color w:val="auto"/>
          <w:kern w:val="0"/>
          <w:sz w:val="32"/>
          <w:szCs w:val="32"/>
        </w:rPr>
        <w:t>主要</w:t>
      </w:r>
      <w:r>
        <w:rPr>
          <w:rFonts w:hint="eastAsia" w:ascii="仿宋_GB2312" w:hAnsi="Calibri"/>
          <w:color w:val="auto"/>
          <w:kern w:val="0"/>
          <w:sz w:val="32"/>
          <w:szCs w:val="32"/>
          <w:lang w:val="en-US" w:eastAsia="zh-CN"/>
        </w:rPr>
        <w:t>包括</w:t>
      </w:r>
      <w:r>
        <w:rPr>
          <w:rFonts w:hint="eastAsia" w:ascii="仿宋_GB2312" w:hAnsi="Calibri"/>
          <w:color w:val="auto"/>
          <w:kern w:val="0"/>
          <w:sz w:val="32"/>
          <w:szCs w:val="32"/>
        </w:rPr>
        <w:t>：新造油茶林面积1.66万亩</w:t>
      </w:r>
      <w:r>
        <w:rPr>
          <w:rFonts w:hint="eastAsia" w:ascii="仿宋_GB2312" w:hAnsi="Calibri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Calibri"/>
          <w:color w:val="auto"/>
          <w:kern w:val="0"/>
          <w:sz w:val="32"/>
          <w:szCs w:val="32"/>
        </w:rPr>
        <w:t>低产低效</w:t>
      </w:r>
      <w:r>
        <w:rPr>
          <w:rFonts w:hint="eastAsia" w:ascii="仿宋_GB2312" w:hAnsi="Calibri"/>
          <w:color w:val="auto"/>
          <w:kern w:val="0"/>
          <w:sz w:val="32"/>
          <w:szCs w:val="32"/>
          <w:lang w:val="en-US" w:eastAsia="zh-CN"/>
        </w:rPr>
        <w:t>林</w:t>
      </w:r>
      <w:r>
        <w:rPr>
          <w:rFonts w:hint="eastAsia" w:ascii="仿宋_GB2312" w:hAnsi="Calibri"/>
          <w:color w:val="auto"/>
          <w:kern w:val="0"/>
          <w:sz w:val="32"/>
          <w:szCs w:val="32"/>
        </w:rPr>
        <w:t>改造</w:t>
      </w:r>
      <w:r>
        <w:rPr>
          <w:rFonts w:hint="eastAsia" w:ascii="仿宋_GB2312" w:hAnsi="Calibri"/>
          <w:color w:val="auto"/>
          <w:kern w:val="0"/>
          <w:sz w:val="32"/>
          <w:szCs w:val="32"/>
          <w:lang w:val="en-US" w:eastAsia="zh-CN"/>
        </w:rPr>
        <w:t>面积</w:t>
      </w:r>
      <w:r>
        <w:rPr>
          <w:rFonts w:hint="eastAsia" w:ascii="仿宋_GB2312" w:hAnsi="Calibri"/>
          <w:color w:val="auto"/>
          <w:kern w:val="0"/>
          <w:sz w:val="32"/>
          <w:szCs w:val="32"/>
        </w:rPr>
        <w:t>1.8万亩</w:t>
      </w:r>
      <w:r>
        <w:rPr>
          <w:rFonts w:hint="eastAsia" w:ascii="仿宋_GB2312" w:hAnsi="Calibri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Calibri"/>
          <w:color w:val="auto"/>
          <w:kern w:val="0"/>
          <w:sz w:val="32"/>
          <w:szCs w:val="32"/>
        </w:rPr>
        <w:t>水肥一体化高效管护面积3.46万亩、</w:t>
      </w:r>
      <w:r>
        <w:rPr>
          <w:rFonts w:hint="eastAsia" w:ascii="仿宋_GB2312" w:hAnsi="Calibri"/>
          <w:color w:val="auto"/>
          <w:kern w:val="0"/>
          <w:sz w:val="32"/>
          <w:szCs w:val="32"/>
          <w:lang w:val="en-US" w:eastAsia="zh-CN"/>
        </w:rPr>
        <w:t>茶油总产量7130吨，茶油亩均产量9.95公斤，油茶果收储能力1万吨，茶油加工能力4.87万吨，新造油茶林成活率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≥90%，低产低效林改造验收合格率≥95%，林木良种使用率100%，高产油茶林占比4.5%，</w:t>
      </w:r>
      <w:r>
        <w:rPr>
          <w:rFonts w:hint="eastAsia" w:ascii="仿宋_GB2312" w:hAnsi="Calibri"/>
          <w:color w:val="auto"/>
          <w:kern w:val="0"/>
          <w:sz w:val="32"/>
          <w:szCs w:val="32"/>
        </w:rPr>
        <w:t>打造油茶示范样板2个</w:t>
      </w:r>
      <w:r>
        <w:rPr>
          <w:rFonts w:hint="eastAsia" w:ascii="仿宋_GB2312" w:hAnsi="Calibri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Calibri"/>
          <w:color w:val="auto"/>
          <w:kern w:val="0"/>
          <w:sz w:val="32"/>
          <w:szCs w:val="32"/>
          <w:lang w:val="en-US" w:eastAsia="zh-CN"/>
        </w:rPr>
        <w:t>建设任务完成率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≥95%等</w:t>
      </w:r>
      <w:r>
        <w:rPr>
          <w:rFonts w:hint="eastAsia" w:ascii="仿宋_GB2312" w:hAnsi="Calibri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二、绩效目标完成情况分析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根据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衢州市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上报的《自评表》，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通过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对预算执行率、总体目标完成情况、各项指标完成情况等进行评价和分析，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截至目前，浙江省衢州市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年中央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油茶产业发展示范奖补项目各子项目均</w:t>
      </w:r>
      <w:r>
        <w:rPr>
          <w:rFonts w:hint="eastAsia" w:ascii="仿宋_GB2312" w:hAnsi="Calibri" w:cs="Times New Roman"/>
          <w:bCs w:val="0"/>
          <w:color w:val="auto"/>
          <w:kern w:val="0"/>
          <w:sz w:val="32"/>
          <w:szCs w:val="32"/>
          <w:lang w:val="en-US" w:eastAsia="zh-CN"/>
        </w:rPr>
        <w:t>已开展实施，年度总投资27818.68万元，现已支出1890.40万元，预算执行率6.8%，安排的中央财政资金尚未支出</w:t>
      </w:r>
      <w:r>
        <w:rPr>
          <w:rFonts w:hint="eastAsia" w:ascii="仿宋_GB2312" w:hAnsi="Calibri" w:eastAsia="仿宋_GB2312" w:cs="Times New Roman"/>
          <w:bCs w:val="0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5"/>
        <w:jc w:val="both"/>
        <w:textAlignment w:val="auto"/>
        <w:rPr>
          <w:rFonts w:hint="eastAsia" w:ascii="仿宋_GB2312" w:hAnsi="仿宋_GB2312" w:eastAsia="楷体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（一）资金投入情况分析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cs="仿宋_GB2312"/>
          <w:color w:val="auto"/>
          <w:kern w:val="0"/>
          <w:sz w:val="32"/>
          <w:szCs w:val="32"/>
          <w:lang w:val="en-US" w:eastAsia="zh-CN"/>
        </w:rPr>
        <w:t>我省及时分解下达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浙江省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衢州市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年中央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油茶产业发展示范奖补项目资金12000万元。经审核汇总，衢州市各县（市、区）实际已到位中央资金1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20</w:t>
      </w:r>
      <w:r>
        <w:rPr>
          <w:rFonts w:hint="eastAsia" w:ascii="仿宋_GB2312" w:hAnsi="仿宋_GB2312" w:cs="仿宋_GB2312"/>
          <w:bCs/>
          <w:color w:val="auto"/>
          <w:kern w:val="0"/>
          <w:sz w:val="32"/>
          <w:szCs w:val="32"/>
          <w:lang w:val="en-US" w:eastAsia="zh-CN"/>
        </w:rPr>
        <w:t>00万元，与中央下达资金一致。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截至绩效评价日，</w:t>
      </w:r>
      <w:r>
        <w:rPr>
          <w:rFonts w:hint="eastAsia" w:ascii="仿宋_GB2312" w:hAnsi="仿宋_GB2312" w:cs="仿宋_GB2312"/>
          <w:bCs/>
          <w:color w:val="auto"/>
          <w:kern w:val="0"/>
          <w:sz w:val="32"/>
          <w:szCs w:val="32"/>
          <w:lang w:val="en-US" w:eastAsia="zh-CN"/>
        </w:rPr>
        <w:t>该项目已完成投资1890.40万元，资金支出主要用于前期林地流转和林木补偿1090.40万元以及常山县油茶产业大脑建设800万元。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）资金管理情况分析。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outlineLvl w:val="9"/>
        <w:rPr>
          <w:rFonts w:hint="eastAsia"/>
          <w:color w:val="auto"/>
          <w:sz w:val="32"/>
          <w:szCs w:val="32"/>
        </w:rPr>
      </w:pPr>
      <w:r>
        <w:rPr>
          <w:rFonts w:hint="eastAsia" w:ascii="仿宋_GB2312" w:hAnsi="仿宋_GB2312" w:cs="仿宋_GB2312"/>
          <w:b/>
          <w:bCs w:val="0"/>
          <w:color w:val="auto"/>
          <w:kern w:val="0"/>
          <w:sz w:val="32"/>
          <w:szCs w:val="32"/>
          <w:lang w:val="en-US" w:eastAsia="zh-CN"/>
        </w:rPr>
        <w:t>1.资金分配下达和使用执行情况。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收到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中央资金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下达文件后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我省严格按照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《预算法》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及中央和省有关规定，及时通过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浙财资环〔202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〕79号</w:t>
      </w:r>
      <w:r>
        <w:rPr>
          <w:rFonts w:hint="eastAsia" w:ascii="仿宋_GB2312" w:hAnsi="仿宋_GB2312" w:cs="仿宋_GB2312"/>
          <w:bCs/>
          <w:color w:val="auto"/>
          <w:kern w:val="0"/>
          <w:sz w:val="32"/>
          <w:szCs w:val="32"/>
          <w:lang w:val="en-US" w:eastAsia="zh-CN"/>
        </w:rPr>
        <w:t>将资金和绩效目标下达至衢州市本级，衢州市及时对资金进行分解下达。根据资金使用管理情况分析，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highlight w:val="none"/>
          <w:lang w:val="en-US" w:eastAsia="zh-CN"/>
        </w:rPr>
        <w:t>衢州市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  <w:highlight w:val="none"/>
        </w:rPr>
        <w:t>202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  <w:highlight w:val="none"/>
        </w:rPr>
        <w:t>年中央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highlight w:val="none"/>
          <w:lang w:val="en-US" w:eastAsia="zh-CN"/>
        </w:rPr>
        <w:t>油茶产业发展示范奖补项目</w:t>
      </w:r>
      <w:r>
        <w:rPr>
          <w:rFonts w:hint="eastAsia"/>
          <w:color w:val="auto"/>
          <w:sz w:val="32"/>
          <w:szCs w:val="32"/>
          <w:highlight w:val="none"/>
        </w:rPr>
        <w:t>资金使用情况总体</w:t>
      </w:r>
      <w:r>
        <w:rPr>
          <w:rFonts w:hint="default"/>
          <w:color w:val="auto"/>
          <w:sz w:val="32"/>
          <w:szCs w:val="32"/>
          <w:highlight w:val="none"/>
        </w:rPr>
        <w:t>较为规范</w:t>
      </w:r>
      <w:r>
        <w:rPr>
          <w:rFonts w:hint="eastAsia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outlineLvl w:val="9"/>
        <w:rPr>
          <w:rFonts w:hint="default" w:ascii="仿宋_GB2312" w:hAnsi="仿宋_GB2312" w:cs="仿宋_GB2312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/>
          <w:bCs w:val="0"/>
          <w:color w:val="auto"/>
          <w:kern w:val="0"/>
          <w:sz w:val="32"/>
          <w:szCs w:val="32"/>
          <w:lang w:val="en-US" w:eastAsia="zh-CN"/>
        </w:rPr>
        <w:t>2.绩效管理和支出责任履行情况。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各</w:t>
      </w:r>
      <w:r>
        <w:rPr>
          <w:rFonts w:hint="eastAsia" w:ascii="仿宋_GB2312" w:hAnsi="仿宋_GB2312" w:cs="仿宋_GB2312"/>
          <w:bCs/>
          <w:color w:val="auto"/>
          <w:kern w:val="0"/>
          <w:sz w:val="32"/>
          <w:szCs w:val="32"/>
          <w:lang w:val="en-US" w:eastAsia="zh-CN"/>
        </w:rPr>
        <w:t>县（市、区）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及时将资金纳入本级预算绩效管理，</w:t>
      </w:r>
      <w:r>
        <w:rPr>
          <w:rFonts w:hint="eastAsia" w:ascii="仿宋_GB2312" w:hAnsi="仿宋_GB2312" w:cs="仿宋_GB2312"/>
          <w:bCs/>
          <w:color w:val="auto"/>
          <w:kern w:val="0"/>
          <w:sz w:val="32"/>
          <w:szCs w:val="32"/>
          <w:lang w:val="en-US" w:eastAsia="zh-CN"/>
        </w:rPr>
        <w:t>并积极筹措相应资金，确保项目能顺利实施。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为进一步强化预算绩效管理，提高资金使用效益，省林业局联合省财政厅</w:t>
      </w:r>
      <w:r>
        <w:rPr>
          <w:rFonts w:hint="eastAsia" w:ascii="仿宋_GB2312" w:hAnsi="仿宋_GB2312" w:cs="仿宋_GB2312"/>
          <w:bCs/>
          <w:color w:val="auto"/>
          <w:kern w:val="0"/>
          <w:sz w:val="32"/>
          <w:szCs w:val="32"/>
          <w:lang w:val="en-US" w:eastAsia="zh-CN"/>
        </w:rPr>
        <w:t>计划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cs="仿宋_GB2312"/>
          <w:bCs/>
          <w:color w:val="auto"/>
          <w:kern w:val="0"/>
          <w:sz w:val="32"/>
          <w:szCs w:val="32"/>
          <w:lang w:val="en-US" w:eastAsia="zh-CN"/>
        </w:rPr>
        <w:t>该项目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每年组织开展</w:t>
      </w:r>
      <w:r>
        <w:rPr>
          <w:rFonts w:hint="eastAsia" w:ascii="仿宋_GB2312" w:hAnsi="仿宋_GB2312" w:cs="仿宋_GB2312"/>
          <w:bCs/>
          <w:color w:val="auto"/>
          <w:kern w:val="0"/>
          <w:sz w:val="32"/>
          <w:szCs w:val="32"/>
          <w:lang w:val="en-US" w:eastAsia="zh-CN"/>
        </w:rPr>
        <w:t>重点绩效评价，定期开展指导督促，在确保项目实施质量的同时，</w:t>
      </w:r>
      <w:r>
        <w:rPr>
          <w:rFonts w:hint="default" w:ascii="仿宋_GB2312" w:hAnsi="仿宋_GB2312" w:cs="仿宋_GB2312"/>
          <w:bCs/>
          <w:color w:val="auto"/>
          <w:kern w:val="0"/>
          <w:sz w:val="32"/>
          <w:szCs w:val="32"/>
          <w:lang w:eastAsia="zh-CN"/>
        </w:rPr>
        <w:t>提高财政资金绩效。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）绩效目标完成情况分析。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中央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于2023年11月才下达我省衢州市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年中央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油茶产业发展示范奖补项目</w:t>
      </w:r>
      <w:r>
        <w:rPr>
          <w:rFonts w:hint="eastAsia"/>
          <w:color w:val="auto"/>
          <w:sz w:val="32"/>
          <w:szCs w:val="32"/>
        </w:rPr>
        <w:t>资金</w:t>
      </w:r>
      <w:r>
        <w:rPr>
          <w:rFonts w:hint="eastAsia"/>
          <w:color w:val="auto"/>
          <w:sz w:val="32"/>
          <w:szCs w:val="32"/>
          <w:lang w:val="en-US" w:eastAsia="zh-CN"/>
        </w:rPr>
        <w:t>和绩效目标。截至目前，已完成油茶林新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造3725亩，油茶低产低效林改造3902亩</w:t>
      </w:r>
      <w:r>
        <w:rPr>
          <w:rFonts w:hint="eastAsia"/>
          <w:color w:val="auto"/>
          <w:sz w:val="32"/>
          <w:szCs w:val="32"/>
          <w:lang w:val="en-US" w:eastAsia="zh-CN"/>
        </w:rPr>
        <w:t>；项目区内</w:t>
      </w:r>
      <w:r>
        <w:rPr>
          <w:rFonts w:hint="eastAsia" w:ascii="仿宋_GB2312" w:hAnsi="仿宋_GB2312" w:cs="仿宋_GB2312"/>
          <w:bCs/>
          <w:color w:val="auto"/>
          <w:kern w:val="0"/>
          <w:sz w:val="32"/>
          <w:szCs w:val="32"/>
          <w:lang w:val="en-US" w:eastAsia="zh-CN"/>
        </w:rPr>
        <w:t>茶油总产量5700吨，茶油亩均产量8.14公斤，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油茶果收储能力1万吨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  <w:highlight w:val="none"/>
        </w:rPr>
        <w:t>茶油加工能力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highlight w:val="none"/>
          <w:lang w:val="en-US" w:eastAsia="zh-CN"/>
        </w:rPr>
        <w:t>3.25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  <w:highlight w:val="none"/>
        </w:rPr>
        <w:t>万吨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highlight w:val="none"/>
          <w:lang w:eastAsia="zh-CN"/>
        </w:rPr>
        <w:t>，新造油茶林初步验收成活率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highlight w:val="none"/>
          <w:lang w:val="en-US" w:eastAsia="zh-CN"/>
        </w:rPr>
        <w:t>95%，低产低效林改造初步验收合格率96%，高产油茶林占比3.5%，建设任务完成率22.04%，新造油茶林4500元/亩，低产低效林改造2800元/亩，水肥一体化高效管护1050元/亩，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带动就业人数2000人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项目区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油茶产业总产值226000万元，亩均产值1262元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/>
          <w:color w:val="auto"/>
          <w:sz w:val="32"/>
          <w:szCs w:val="32"/>
          <w:lang w:val="en-US" w:eastAsia="zh-CN"/>
        </w:rPr>
        <w:t>由于项目（建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highlight w:val="none"/>
          <w:lang w:val="en-US" w:eastAsia="zh-CN"/>
        </w:rPr>
        <w:t>设期5年）刚启动实施，</w:t>
      </w:r>
      <w:r>
        <w:rPr>
          <w:rFonts w:hint="eastAsia" w:ascii="仿宋_GB2312" w:hAnsi="仿宋_GB2312" w:cs="仿宋_GB2312"/>
          <w:bCs/>
          <w:color w:val="auto"/>
          <w:kern w:val="0"/>
          <w:sz w:val="32"/>
          <w:szCs w:val="32"/>
          <w:lang w:val="en-US" w:eastAsia="zh-CN"/>
        </w:rPr>
        <w:t>因此年度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绩效目标未完成。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三、偏离绩效目标的原因和下一步改进措施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/>
          <w:bCs w:val="0"/>
          <w:color w:val="auto"/>
          <w:kern w:val="0"/>
          <w:sz w:val="32"/>
          <w:szCs w:val="32"/>
          <w:lang w:val="en-US" w:eastAsia="zh-CN"/>
        </w:rPr>
        <w:t>1.项目存在问题和未完成原因分析。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  <w:lang w:val="en-US" w:eastAsia="zh-CN"/>
        </w:rPr>
        <w:t>我省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衢州市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年中央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油茶产业发展示范奖补项目由于项目启动较迟，</w:t>
      </w:r>
      <w:r>
        <w:rPr>
          <w:rFonts w:hint="eastAsia"/>
          <w:color w:val="auto"/>
          <w:sz w:val="32"/>
          <w:szCs w:val="32"/>
        </w:rPr>
        <w:t>涉及</w:t>
      </w:r>
      <w:r>
        <w:rPr>
          <w:rFonts w:hint="eastAsia"/>
          <w:color w:val="auto"/>
          <w:sz w:val="32"/>
          <w:szCs w:val="32"/>
          <w:lang w:val="en-US" w:eastAsia="zh-CN"/>
        </w:rPr>
        <w:t>建设单位</w:t>
      </w:r>
      <w:r>
        <w:rPr>
          <w:rFonts w:hint="eastAsia"/>
          <w:color w:val="auto"/>
          <w:sz w:val="32"/>
          <w:szCs w:val="32"/>
        </w:rPr>
        <w:t>多</w:t>
      </w:r>
      <w:r>
        <w:rPr>
          <w:rFonts w:hint="eastAsia"/>
          <w:color w:val="auto"/>
          <w:sz w:val="32"/>
          <w:szCs w:val="32"/>
          <w:lang w:eastAsia="zh-CN"/>
        </w:rPr>
        <w:t>、</w:t>
      </w:r>
      <w:r>
        <w:rPr>
          <w:rFonts w:hint="eastAsia"/>
          <w:color w:val="auto"/>
          <w:sz w:val="32"/>
          <w:szCs w:val="32"/>
        </w:rPr>
        <w:t>农户数量大</w:t>
      </w:r>
      <w:r>
        <w:rPr>
          <w:rFonts w:hint="eastAsia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要推进规模化经营，需要开展森林资源资产评估、流转、补偿、地块清理等大量前期工作，</w:t>
      </w:r>
      <w:r>
        <w:rPr>
          <w:rFonts w:hint="eastAsia"/>
          <w:color w:val="auto"/>
          <w:sz w:val="32"/>
          <w:szCs w:val="32"/>
          <w:lang w:val="en-US" w:eastAsia="zh-CN"/>
        </w:rPr>
        <w:t>前期政策处理和</w:t>
      </w:r>
      <w:r>
        <w:rPr>
          <w:rFonts w:hint="eastAsia"/>
          <w:color w:val="auto"/>
          <w:sz w:val="32"/>
          <w:szCs w:val="32"/>
        </w:rPr>
        <w:t>土地流转</w:t>
      </w:r>
      <w:r>
        <w:rPr>
          <w:rFonts w:hint="eastAsia"/>
          <w:color w:val="auto"/>
          <w:sz w:val="32"/>
          <w:szCs w:val="32"/>
          <w:lang w:val="en-US" w:eastAsia="zh-CN"/>
        </w:rPr>
        <w:t>事项复杂</w:t>
      </w:r>
      <w:r>
        <w:rPr>
          <w:rFonts w:hint="eastAsia"/>
          <w:color w:val="auto"/>
          <w:sz w:val="32"/>
          <w:szCs w:val="32"/>
          <w:lang w:eastAsia="zh-CN"/>
        </w:rPr>
        <w:t>，同时因补助金额较大，根据规定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需要招投标，耗时较长，</w:t>
      </w:r>
      <w:r>
        <w:rPr>
          <w:rFonts w:hint="eastAsia"/>
          <w:color w:val="auto"/>
          <w:sz w:val="32"/>
          <w:szCs w:val="32"/>
          <w:lang w:val="en-US" w:eastAsia="zh-CN"/>
        </w:rPr>
        <w:t>导致项目开工时间较迟，项目实际产出绩效指标均未达到预期目标，中央资金尚未支出。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cs="仿宋_GB2312"/>
          <w:b/>
          <w:bCs w:val="0"/>
          <w:color w:val="auto"/>
          <w:kern w:val="0"/>
          <w:sz w:val="32"/>
          <w:szCs w:val="32"/>
          <w:lang w:val="en-US" w:eastAsia="zh-CN"/>
        </w:rPr>
        <w:t>2.下一步改进措施。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针对</w:t>
      </w:r>
      <w:r>
        <w:rPr>
          <w:rFonts w:hint="eastAsia" w:ascii="仿宋_GB2312" w:hAnsi="Calibri" w:eastAsia="仿宋_GB2312" w:cs="Times New Roman"/>
          <w:color w:val="auto"/>
          <w:kern w:val="0"/>
          <w:sz w:val="32"/>
          <w:szCs w:val="32"/>
        </w:rPr>
        <w:t>中央</w:t>
      </w:r>
      <w:r>
        <w:rPr>
          <w:rFonts w:hint="eastAsia" w:ascii="仿宋_GB2312" w:hAnsi="Calibri" w:cs="Times New Roman"/>
          <w:color w:val="auto"/>
          <w:kern w:val="0"/>
          <w:sz w:val="32"/>
          <w:szCs w:val="32"/>
          <w:lang w:val="en-US" w:eastAsia="zh-CN"/>
        </w:rPr>
        <w:t>油茶产业发展示范奖补项目实施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要求高、时间紧、任务重等客观原因，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省林业局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  <w:lang w:val="en-US" w:eastAsia="zh-CN"/>
        </w:rPr>
        <w:t>将联合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省财政厅</w:t>
      </w:r>
      <w:r>
        <w:rPr>
          <w:rFonts w:hint="default" w:ascii="仿宋_GB2312" w:hAnsi="仿宋_GB2312" w:cs="仿宋_GB2312"/>
          <w:color w:val="auto"/>
          <w:kern w:val="0"/>
          <w:sz w:val="32"/>
          <w:szCs w:val="32"/>
          <w:lang w:eastAsia="zh-CN"/>
        </w:rPr>
        <w:t>开展实地督导，</w:t>
      </w:r>
      <w:r>
        <w:rPr>
          <w:rFonts w:hint="default" w:ascii="仿宋_GB2312" w:hAnsi="仿宋_GB2312" w:cs="仿宋_GB2312"/>
          <w:color w:val="auto"/>
          <w:kern w:val="0"/>
          <w:sz w:val="32"/>
          <w:szCs w:val="32"/>
        </w:rPr>
        <w:t>狠抓项目推进，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  <w:lang w:val="en-US" w:eastAsia="zh-CN"/>
        </w:rPr>
        <w:t>定期调度项目进度，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督促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  <w:lang w:val="en-US" w:eastAsia="zh-CN"/>
        </w:rPr>
        <w:t>衢州市和相关县（市、区）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落实责任到岗到人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  <w:lang w:val="en-US" w:eastAsia="zh-CN"/>
        </w:rPr>
        <w:t>倒排时间计划</w:t>
      </w:r>
      <w:r>
        <w:rPr>
          <w:rFonts w:hint="eastAsia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加快项目推进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  <w:lang w:val="en-US" w:eastAsia="zh-CN"/>
        </w:rPr>
        <w:t>速度，并提高项目实施质量。衢州市将责令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</w:rPr>
        <w:t>各县（市、区）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  <w:lang w:val="en-US" w:eastAsia="zh-CN"/>
        </w:rPr>
        <w:t>进一步压实主体责任，实行晾晒比拼和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</w:rPr>
        <w:t>清单化管理，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  <w:lang w:val="en-US" w:eastAsia="zh-CN"/>
        </w:rPr>
        <w:t>抢抓项目种植窗口期，力争在5月底前完成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</w:rPr>
        <w:t>2023年度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  <w:lang w:val="en-US" w:eastAsia="zh-CN"/>
        </w:rPr>
        <w:t>的全部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</w:rPr>
        <w:t>建设任务，中央资金执行率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  <w:lang w:val="en-US" w:eastAsia="zh-CN"/>
        </w:rPr>
        <w:t>达到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</w:rPr>
        <w:t>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绩效自评结果拟应用和公开情况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pacing w:val="-4"/>
          <w:kern w:val="0"/>
          <w:sz w:val="32"/>
          <w:szCs w:val="32"/>
        </w:rPr>
        <w:t>省林业局对本次绩效</w:t>
      </w:r>
      <w:r>
        <w:rPr>
          <w:rFonts w:hint="default" w:ascii="仿宋_GB2312" w:hAnsi="仿宋_GB2312" w:cs="仿宋_GB2312"/>
          <w:bCs/>
          <w:color w:val="auto"/>
          <w:spacing w:val="-4"/>
          <w:kern w:val="0"/>
          <w:sz w:val="32"/>
          <w:szCs w:val="32"/>
        </w:rPr>
        <w:t>评价</w:t>
      </w:r>
      <w:r>
        <w:rPr>
          <w:rFonts w:hint="eastAsia" w:ascii="仿宋_GB2312" w:hAnsi="仿宋_GB2312" w:eastAsia="仿宋_GB2312" w:cs="仿宋_GB2312"/>
          <w:bCs/>
          <w:color w:val="auto"/>
          <w:spacing w:val="-4"/>
          <w:kern w:val="0"/>
          <w:sz w:val="32"/>
          <w:szCs w:val="32"/>
        </w:rPr>
        <w:t>结果</w:t>
      </w:r>
      <w:r>
        <w:rPr>
          <w:rFonts w:hint="default" w:ascii="仿宋_GB2312" w:hAnsi="仿宋_GB2312" w:cs="仿宋_GB2312"/>
          <w:bCs/>
          <w:color w:val="auto"/>
          <w:spacing w:val="-4"/>
          <w:kern w:val="0"/>
          <w:sz w:val="32"/>
          <w:szCs w:val="32"/>
        </w:rPr>
        <w:t>将在一定范围内</w:t>
      </w:r>
      <w:r>
        <w:rPr>
          <w:rFonts w:hint="eastAsia" w:ascii="仿宋_GB2312" w:hAnsi="仿宋_GB2312" w:eastAsia="仿宋_GB2312" w:cs="仿宋_GB2312"/>
          <w:bCs/>
          <w:color w:val="auto"/>
          <w:spacing w:val="-4"/>
          <w:kern w:val="0"/>
          <w:sz w:val="32"/>
          <w:szCs w:val="32"/>
        </w:rPr>
        <w:t>予以公开</w:t>
      </w:r>
      <w:r>
        <w:rPr>
          <w:rFonts w:hint="eastAsia" w:ascii="仿宋_GB2312" w:hAnsi="仿宋_GB2312" w:cs="仿宋_GB2312"/>
          <w:bCs/>
          <w:color w:val="auto"/>
          <w:spacing w:val="-4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auto"/>
          <w:spacing w:val="-4"/>
          <w:kern w:val="0"/>
          <w:sz w:val="32"/>
          <w:szCs w:val="32"/>
        </w:rPr>
        <w:t>针对绩效自评中所反映的问题，省林业局将联合省财政厅进行通报，督促</w:t>
      </w:r>
      <w:r>
        <w:rPr>
          <w:rFonts w:hint="eastAsia" w:ascii="仿宋_GB2312" w:hAnsi="仿宋_GB2312" w:cs="仿宋_GB2312"/>
          <w:bCs/>
          <w:color w:val="auto"/>
          <w:spacing w:val="-4"/>
          <w:kern w:val="0"/>
          <w:sz w:val="32"/>
          <w:szCs w:val="32"/>
          <w:lang w:val="en-US" w:eastAsia="zh-CN"/>
        </w:rPr>
        <w:t>衢州市和相关</w:t>
      </w:r>
      <w:r>
        <w:rPr>
          <w:rFonts w:hint="eastAsia" w:ascii="仿宋_GB2312" w:hAnsi="仿宋_GB2312" w:cs="仿宋_GB2312"/>
          <w:color w:val="auto"/>
          <w:spacing w:val="-4"/>
          <w:kern w:val="0"/>
          <w:sz w:val="32"/>
          <w:szCs w:val="32"/>
          <w:lang w:val="en-US" w:eastAsia="zh-CN"/>
        </w:rPr>
        <w:t>县（市、区）务必</w:t>
      </w:r>
      <w:r>
        <w:rPr>
          <w:rFonts w:hint="eastAsia" w:ascii="仿宋_GB2312" w:hAnsi="仿宋_GB2312" w:eastAsia="仿宋_GB2312" w:cs="仿宋_GB2312"/>
          <w:bCs/>
          <w:color w:val="auto"/>
          <w:spacing w:val="-4"/>
          <w:kern w:val="0"/>
          <w:sz w:val="32"/>
          <w:szCs w:val="32"/>
        </w:rPr>
        <w:t>加快项目实施进度，确保项目能顺利完成。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其他需要说明的问题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黑体" w:hAnsi="黑体" w:eastAsia="黑体" w:cs="黑体"/>
          <w:bCs/>
          <w:color w:val="auto"/>
          <w:sz w:val="32"/>
          <w:szCs w:val="32"/>
          <w:lang w:eastAsia="zh-CN"/>
        </w:rPr>
      </w:pPr>
      <w:r>
        <w:rPr>
          <w:rFonts w:hint="default" w:ascii="黑体" w:hAnsi="黑体" w:eastAsia="黑体" w:cs="黑体"/>
          <w:bCs/>
          <w:color w:val="auto"/>
          <w:sz w:val="32"/>
          <w:szCs w:val="32"/>
          <w:lang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spacing w:val="-4"/>
          <w:kern w:val="0"/>
          <w:sz w:val="32"/>
          <w:szCs w:val="32"/>
          <w:lang w:eastAsia="zh-CN"/>
        </w:rPr>
        <w:t>无。</w:t>
      </w:r>
      <w:bookmarkStart w:id="0" w:name="_GoBack"/>
      <w:bookmarkEnd w:id="0"/>
    </w:p>
    <w:sectPr>
      <w:footerReference r:id="rId3" w:type="default"/>
      <w:pgSz w:w="11906" w:h="16838"/>
      <w:pgMar w:top="1928" w:right="1304" w:bottom="1531" w:left="1531" w:header="851" w:footer="1474" w:gutter="0"/>
      <w:pgNumType w:start="25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BE130C"/>
    <w:multiLevelType w:val="singleLevel"/>
    <w:tmpl w:val="ABBE130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E9E304A"/>
    <w:multiLevelType w:val="singleLevel"/>
    <w:tmpl w:val="FE9E304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cumentProtection w:edit="readOnly" w:enforcement="0"/>
  <w:defaultTabStop w:val="420"/>
  <w:hyphenationZone w:val="360"/>
  <w:drawingGridHorizontalSpacing w:val="150"/>
  <w:drawingGridVerticalSpacing w:val="58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lM2FiMmNlMjU1NjY4OTcyNWNmYTZkZDMzN2RkMjAifQ=="/>
  </w:docVars>
  <w:rsids>
    <w:rsidRoot w:val="00F57F82"/>
    <w:rsid w:val="000101E1"/>
    <w:rsid w:val="000732DA"/>
    <w:rsid w:val="00075CDC"/>
    <w:rsid w:val="000B1E8F"/>
    <w:rsid w:val="000B6964"/>
    <w:rsid w:val="00103D16"/>
    <w:rsid w:val="00111638"/>
    <w:rsid w:val="00111928"/>
    <w:rsid w:val="0012041C"/>
    <w:rsid w:val="00164D84"/>
    <w:rsid w:val="00173016"/>
    <w:rsid w:val="0017509C"/>
    <w:rsid w:val="001808CA"/>
    <w:rsid w:val="001A4E46"/>
    <w:rsid w:val="001E03FE"/>
    <w:rsid w:val="002123E8"/>
    <w:rsid w:val="00250053"/>
    <w:rsid w:val="0029569C"/>
    <w:rsid w:val="002A5FA7"/>
    <w:rsid w:val="002B3EEF"/>
    <w:rsid w:val="002B54E4"/>
    <w:rsid w:val="002E5562"/>
    <w:rsid w:val="002F6705"/>
    <w:rsid w:val="00301FC0"/>
    <w:rsid w:val="00336A16"/>
    <w:rsid w:val="003663A3"/>
    <w:rsid w:val="00387DD5"/>
    <w:rsid w:val="003B0980"/>
    <w:rsid w:val="003C6374"/>
    <w:rsid w:val="003D2CB9"/>
    <w:rsid w:val="00413F12"/>
    <w:rsid w:val="00493012"/>
    <w:rsid w:val="004D2137"/>
    <w:rsid w:val="005D1514"/>
    <w:rsid w:val="005D7CC3"/>
    <w:rsid w:val="006218A1"/>
    <w:rsid w:val="00682A10"/>
    <w:rsid w:val="006A30E4"/>
    <w:rsid w:val="006A74BF"/>
    <w:rsid w:val="006C1CEE"/>
    <w:rsid w:val="006D5A86"/>
    <w:rsid w:val="00707C2E"/>
    <w:rsid w:val="00722A7D"/>
    <w:rsid w:val="00724A6B"/>
    <w:rsid w:val="0073331B"/>
    <w:rsid w:val="00733C2D"/>
    <w:rsid w:val="00756C7F"/>
    <w:rsid w:val="007D7E6E"/>
    <w:rsid w:val="00850797"/>
    <w:rsid w:val="00853FC4"/>
    <w:rsid w:val="008720F1"/>
    <w:rsid w:val="00882EFA"/>
    <w:rsid w:val="008B2F56"/>
    <w:rsid w:val="008F0996"/>
    <w:rsid w:val="00903791"/>
    <w:rsid w:val="009600BD"/>
    <w:rsid w:val="00961C83"/>
    <w:rsid w:val="009922BC"/>
    <w:rsid w:val="009E0D8C"/>
    <w:rsid w:val="00A02AF3"/>
    <w:rsid w:val="00A25077"/>
    <w:rsid w:val="00A610CC"/>
    <w:rsid w:val="00A8737E"/>
    <w:rsid w:val="00AA19AF"/>
    <w:rsid w:val="00BC6882"/>
    <w:rsid w:val="00BD3FE0"/>
    <w:rsid w:val="00BE58CF"/>
    <w:rsid w:val="00C84241"/>
    <w:rsid w:val="00CA5578"/>
    <w:rsid w:val="00CA7DAA"/>
    <w:rsid w:val="00D04826"/>
    <w:rsid w:val="00D63908"/>
    <w:rsid w:val="00D8718A"/>
    <w:rsid w:val="00D93453"/>
    <w:rsid w:val="00DC524D"/>
    <w:rsid w:val="00E071D6"/>
    <w:rsid w:val="00E14D54"/>
    <w:rsid w:val="00ED3E0F"/>
    <w:rsid w:val="00F015E4"/>
    <w:rsid w:val="00F57F82"/>
    <w:rsid w:val="00F75224"/>
    <w:rsid w:val="00F91EAE"/>
    <w:rsid w:val="00FA086C"/>
    <w:rsid w:val="00FA2093"/>
    <w:rsid w:val="00FA357A"/>
    <w:rsid w:val="01C93486"/>
    <w:rsid w:val="02435D4A"/>
    <w:rsid w:val="02F00970"/>
    <w:rsid w:val="02F25B61"/>
    <w:rsid w:val="03392328"/>
    <w:rsid w:val="037D0BC8"/>
    <w:rsid w:val="0414044C"/>
    <w:rsid w:val="06305334"/>
    <w:rsid w:val="06370D63"/>
    <w:rsid w:val="07EE2703"/>
    <w:rsid w:val="081F45C9"/>
    <w:rsid w:val="083403B0"/>
    <w:rsid w:val="0845082D"/>
    <w:rsid w:val="09CB3921"/>
    <w:rsid w:val="09E965F2"/>
    <w:rsid w:val="0A12283E"/>
    <w:rsid w:val="0B627802"/>
    <w:rsid w:val="0E1D3E85"/>
    <w:rsid w:val="0E374C9D"/>
    <w:rsid w:val="0EE71638"/>
    <w:rsid w:val="106945CB"/>
    <w:rsid w:val="10930DC1"/>
    <w:rsid w:val="10E31915"/>
    <w:rsid w:val="11ED4068"/>
    <w:rsid w:val="124D3615"/>
    <w:rsid w:val="139840D3"/>
    <w:rsid w:val="143E091F"/>
    <w:rsid w:val="14865FC8"/>
    <w:rsid w:val="150C2DB0"/>
    <w:rsid w:val="15C60002"/>
    <w:rsid w:val="15F13043"/>
    <w:rsid w:val="17F831DD"/>
    <w:rsid w:val="19DE5A5A"/>
    <w:rsid w:val="19E40D70"/>
    <w:rsid w:val="19E850B2"/>
    <w:rsid w:val="1A9E1ABD"/>
    <w:rsid w:val="1D962C21"/>
    <w:rsid w:val="1DDD37CC"/>
    <w:rsid w:val="1E6C4DFA"/>
    <w:rsid w:val="1E761F05"/>
    <w:rsid w:val="1F1B5E97"/>
    <w:rsid w:val="1F7C5BC2"/>
    <w:rsid w:val="1FC7205C"/>
    <w:rsid w:val="20BB613A"/>
    <w:rsid w:val="22125C5D"/>
    <w:rsid w:val="228B3D05"/>
    <w:rsid w:val="25644FE8"/>
    <w:rsid w:val="284E74F8"/>
    <w:rsid w:val="28825156"/>
    <w:rsid w:val="28E848A9"/>
    <w:rsid w:val="295226C2"/>
    <w:rsid w:val="29765412"/>
    <w:rsid w:val="2ADB48E8"/>
    <w:rsid w:val="2B6D7ACB"/>
    <w:rsid w:val="2B7F4822"/>
    <w:rsid w:val="2B9B5CBB"/>
    <w:rsid w:val="2BA7C14F"/>
    <w:rsid w:val="2C974AA1"/>
    <w:rsid w:val="30146D9A"/>
    <w:rsid w:val="316E6720"/>
    <w:rsid w:val="31A06438"/>
    <w:rsid w:val="32645ABA"/>
    <w:rsid w:val="32DEB665"/>
    <w:rsid w:val="340A7470"/>
    <w:rsid w:val="3442540E"/>
    <w:rsid w:val="34643001"/>
    <w:rsid w:val="357F6D41"/>
    <w:rsid w:val="36687282"/>
    <w:rsid w:val="37417F37"/>
    <w:rsid w:val="38604B0B"/>
    <w:rsid w:val="38EF7AD8"/>
    <w:rsid w:val="38F862EF"/>
    <w:rsid w:val="3A9337A6"/>
    <w:rsid w:val="3AD95259"/>
    <w:rsid w:val="3AFF334C"/>
    <w:rsid w:val="3C09460C"/>
    <w:rsid w:val="3D7F0ECC"/>
    <w:rsid w:val="3DBF6CDD"/>
    <w:rsid w:val="3E1672E6"/>
    <w:rsid w:val="3E524F33"/>
    <w:rsid w:val="3F452A3F"/>
    <w:rsid w:val="3FF11D6E"/>
    <w:rsid w:val="3FF7DED6"/>
    <w:rsid w:val="402908E4"/>
    <w:rsid w:val="415F08D8"/>
    <w:rsid w:val="4170316A"/>
    <w:rsid w:val="423C0226"/>
    <w:rsid w:val="42E46D38"/>
    <w:rsid w:val="42F644D0"/>
    <w:rsid w:val="43D57AE5"/>
    <w:rsid w:val="44801BED"/>
    <w:rsid w:val="44E2230F"/>
    <w:rsid w:val="464D7CC6"/>
    <w:rsid w:val="46FFB6A8"/>
    <w:rsid w:val="47480D01"/>
    <w:rsid w:val="48B51347"/>
    <w:rsid w:val="491B45FA"/>
    <w:rsid w:val="4A55216A"/>
    <w:rsid w:val="4D8C1131"/>
    <w:rsid w:val="4E8739E0"/>
    <w:rsid w:val="4E95375A"/>
    <w:rsid w:val="4F391107"/>
    <w:rsid w:val="4FE0696A"/>
    <w:rsid w:val="516E4D69"/>
    <w:rsid w:val="52B86F0E"/>
    <w:rsid w:val="532D7D83"/>
    <w:rsid w:val="53517423"/>
    <w:rsid w:val="54417C4B"/>
    <w:rsid w:val="55673508"/>
    <w:rsid w:val="5590756D"/>
    <w:rsid w:val="55C40C9B"/>
    <w:rsid w:val="560D5C3D"/>
    <w:rsid w:val="57707A82"/>
    <w:rsid w:val="57BBA33B"/>
    <w:rsid w:val="57C17B2E"/>
    <w:rsid w:val="58807595"/>
    <w:rsid w:val="59595A6F"/>
    <w:rsid w:val="599330CA"/>
    <w:rsid w:val="59A46943"/>
    <w:rsid w:val="59CF38BF"/>
    <w:rsid w:val="59F2429E"/>
    <w:rsid w:val="5C8F03E2"/>
    <w:rsid w:val="5CDF5351"/>
    <w:rsid w:val="5D6C6AD3"/>
    <w:rsid w:val="5E554A92"/>
    <w:rsid w:val="5E882B0A"/>
    <w:rsid w:val="5ED36632"/>
    <w:rsid w:val="5EF05931"/>
    <w:rsid w:val="60BC3583"/>
    <w:rsid w:val="60D364E6"/>
    <w:rsid w:val="60D5009F"/>
    <w:rsid w:val="6163774C"/>
    <w:rsid w:val="617A3052"/>
    <w:rsid w:val="61BE50F3"/>
    <w:rsid w:val="61F6C3C3"/>
    <w:rsid w:val="6319324A"/>
    <w:rsid w:val="63FE4FE8"/>
    <w:rsid w:val="644A7968"/>
    <w:rsid w:val="64AC2E11"/>
    <w:rsid w:val="660721C9"/>
    <w:rsid w:val="661E6C75"/>
    <w:rsid w:val="679EADCC"/>
    <w:rsid w:val="67DF03B6"/>
    <w:rsid w:val="67F75FF5"/>
    <w:rsid w:val="681D4831"/>
    <w:rsid w:val="68494A55"/>
    <w:rsid w:val="692E4B19"/>
    <w:rsid w:val="69513EF7"/>
    <w:rsid w:val="69957858"/>
    <w:rsid w:val="69F34AD9"/>
    <w:rsid w:val="6A6B05CE"/>
    <w:rsid w:val="6B52208B"/>
    <w:rsid w:val="6BAF6C45"/>
    <w:rsid w:val="6BDE1A06"/>
    <w:rsid w:val="6BF3256F"/>
    <w:rsid w:val="6CE7018A"/>
    <w:rsid w:val="6D887C06"/>
    <w:rsid w:val="6DAC4948"/>
    <w:rsid w:val="6E3E3F2D"/>
    <w:rsid w:val="6E8521C9"/>
    <w:rsid w:val="715B2F02"/>
    <w:rsid w:val="71F51A44"/>
    <w:rsid w:val="735143A9"/>
    <w:rsid w:val="73D72D76"/>
    <w:rsid w:val="75984C7A"/>
    <w:rsid w:val="76A548F2"/>
    <w:rsid w:val="7765772E"/>
    <w:rsid w:val="77867685"/>
    <w:rsid w:val="781F36B6"/>
    <w:rsid w:val="78631286"/>
    <w:rsid w:val="788F1903"/>
    <w:rsid w:val="78C343AF"/>
    <w:rsid w:val="790627AD"/>
    <w:rsid w:val="79510F20"/>
    <w:rsid w:val="79E7F6AC"/>
    <w:rsid w:val="79E9E816"/>
    <w:rsid w:val="79F3A521"/>
    <w:rsid w:val="7ADC59FA"/>
    <w:rsid w:val="7B5EEABA"/>
    <w:rsid w:val="7B9671CE"/>
    <w:rsid w:val="7BEFE3E7"/>
    <w:rsid w:val="7C182CBA"/>
    <w:rsid w:val="7C573B6E"/>
    <w:rsid w:val="7DBF0828"/>
    <w:rsid w:val="7DD94434"/>
    <w:rsid w:val="7DDD794F"/>
    <w:rsid w:val="7EFBFB45"/>
    <w:rsid w:val="7FBD8F33"/>
    <w:rsid w:val="7FC13DA6"/>
    <w:rsid w:val="7FCF4AFD"/>
    <w:rsid w:val="7FFB87F3"/>
    <w:rsid w:val="9DFD1439"/>
    <w:rsid w:val="BFEF6D88"/>
    <w:rsid w:val="C7FF7A4E"/>
    <w:rsid w:val="C9DF06E5"/>
    <w:rsid w:val="DDE8A950"/>
    <w:rsid w:val="EC46DD99"/>
    <w:rsid w:val="ECD85533"/>
    <w:rsid w:val="F477A5C1"/>
    <w:rsid w:val="F7B7550F"/>
    <w:rsid w:val="F7B77B68"/>
    <w:rsid w:val="F9F7B91B"/>
    <w:rsid w:val="FBCB7FAE"/>
    <w:rsid w:val="FBFB1037"/>
    <w:rsid w:val="FC5DE0E9"/>
    <w:rsid w:val="FCBBD262"/>
    <w:rsid w:val="FDD92D9A"/>
    <w:rsid w:val="FDFC1924"/>
    <w:rsid w:val="FF59F635"/>
    <w:rsid w:val="FFCC4B7F"/>
    <w:rsid w:val="FFF64B86"/>
    <w:rsid w:val="FFF764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rFonts w:eastAsia="仿宋_GB2312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eastAsia="仿宋_GB2312"/>
      <w:kern w:val="2"/>
      <w:sz w:val="18"/>
      <w:szCs w:val="18"/>
    </w:rPr>
  </w:style>
  <w:style w:type="character" w:customStyle="1" w:styleId="9">
    <w:name w:val="页眉 Char"/>
    <w:basedOn w:val="6"/>
    <w:link w:val="4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4</Pages>
  <Words>2078</Words>
  <Characters>2286</Characters>
  <Lines>3</Lines>
  <Paragraphs>1</Paragraphs>
  <TotalTime>8</TotalTime>
  <ScaleCrop>false</ScaleCrop>
  <LinksUpToDate>false</LinksUpToDate>
  <CharactersWithSpaces>2286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2019-02-19T14:26:00Z</dcterms:created>
  <dc:creator>lhn</dc:creator>
  <cp:lastModifiedBy>汪雄英</cp:lastModifiedBy>
  <cp:lastPrinted>2021-03-09T14:48:00Z</cp:lastPrinted>
  <dcterms:modified xsi:type="dcterms:W3CDTF">2024-04-02T01:45:05Z</dcterms:modified>
  <dc:title>财政支出绩效评价报告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7649FB42C6EA4584985940DFDAD206F8</vt:lpwstr>
  </property>
</Properties>
</file>