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rPr>
          <w:rFonts w:ascii="黑体" w:hAnsi="黑体" w:eastAsia="黑体" w:cs="黑体"/>
          <w:spacing w:val="-6"/>
          <w:sz w:val="32"/>
          <w:szCs w:val="32"/>
        </w:rPr>
      </w:pPr>
      <w:r>
        <w:rPr>
          <w:rFonts w:hint="eastAsia" w:ascii="黑体" w:hAnsi="黑体" w:eastAsia="黑体" w:cs="黑体"/>
          <w:spacing w:val="-6"/>
          <w:sz w:val="32"/>
          <w:szCs w:val="32"/>
        </w:rPr>
        <w:t>附件3</w:t>
      </w:r>
    </w:p>
    <w:p>
      <w:pPr>
        <w:pStyle w:val="2"/>
        <w:spacing w:after="0" w:line="400" w:lineRule="exact"/>
        <w:ind w:firstLine="320"/>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after="0" w:line="680" w:lineRule="exact"/>
        <w:jc w:val="center"/>
        <w:textAlignment w:val="auto"/>
        <w:rPr>
          <w:rFonts w:hint="eastAsia"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浙江省2023年度中央林业草原改革发展</w:t>
      </w:r>
    </w:p>
    <w:p>
      <w:pPr>
        <w:keepNext w:val="0"/>
        <w:keepLines w:val="0"/>
        <w:pageBreakBefore w:val="0"/>
        <w:widowControl/>
        <w:kinsoku/>
        <w:wordWrap/>
        <w:overflowPunct/>
        <w:topLinePunct w:val="0"/>
        <w:autoSpaceDE/>
        <w:autoSpaceDN/>
        <w:bidi w:val="0"/>
        <w:adjustRightInd/>
        <w:snapToGrid/>
        <w:spacing w:after="0" w:line="680" w:lineRule="exact"/>
        <w:jc w:val="center"/>
        <w:textAlignment w:val="auto"/>
        <w:rPr>
          <w:rFonts w:hint="eastAsia" w:ascii="方正小标宋简体" w:hAnsi="方正小标宋简体" w:eastAsia="方正小标宋简体" w:cs="方正小标宋简体"/>
          <w:spacing w:val="-6"/>
          <w:sz w:val="44"/>
          <w:szCs w:val="44"/>
          <w:lang w:val="en-US" w:eastAsia="zh-CN"/>
        </w:rPr>
      </w:pPr>
      <w:r>
        <w:rPr>
          <w:rFonts w:hint="eastAsia" w:ascii="方正小标宋简体" w:hAnsi="方正小标宋简体" w:eastAsia="方正小标宋简体" w:cs="方正小标宋简体"/>
          <w:spacing w:val="-6"/>
          <w:sz w:val="44"/>
          <w:szCs w:val="44"/>
        </w:rPr>
        <w:t>资金绩效自评报告</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财政部关于开展2023年度中央对地方转移支付预算执行情况绩效自评工作的通知》（财监〔2024〕3号）有关要求，省林业局联合省财政厅下发《关于开展2023年度中央对地方林业转移支付预算执行情况绩效自评工作的通知》（浙林规〔2024〕17号），组织对2023年中央林业草原改革发展资金进行绩效自评，共涉及全省69个市县和5家省级单位。经审核汇总并分析各地上报材料，最终形成浙江省2023年中央林业草原改革发展资金区域绩效目标自评表和绩效自评报告。</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一、绩效目标分解下达情况</w:t>
      </w:r>
    </w:p>
    <w:p>
      <w:pPr>
        <w:keepNext w:val="0"/>
        <w:keepLines w:val="0"/>
        <w:pageBreakBefore w:val="0"/>
        <w:widowControl w:val="0"/>
        <w:tabs>
          <w:tab w:val="left" w:pos="8789"/>
        </w:tabs>
        <w:kinsoku/>
        <w:wordWrap/>
        <w:overflowPunct/>
        <w:topLinePunct w:val="0"/>
        <w:autoSpaceDE/>
        <w:autoSpaceDN/>
        <w:bidi w:val="0"/>
        <w:spacing w:after="0" w:line="580" w:lineRule="exact"/>
        <w:ind w:firstLine="640" w:firstLineChars="200"/>
        <w:textAlignment w:val="auto"/>
        <w:rPr>
          <w:rFonts w:hint="eastAsia"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（一）转移支付预算情况。</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中央分4次下达我省2023年中央林业草原改革发展资金，共计55511万元，其中：《财政部关于提前下达2023年林业改革发展资金预算的通知》（财资环〔2022〕127号）下达资金41235万元，《财政部关于下达2023年林业草原改革发展资金预算的通知》（财资环〔2023〕21号）下达资金10735万元，《财政部关于下达2023年林业草原改革发展（林长制督查考核奖励）资金预算的通知》（财资环〔2023〕47号）下达资金1000万元，《财政部关于下达2023年林业草原改革发展（第四批）资金预算的通知》（财资环〔2023〕119号）下达油茶发展资金2541万元。</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根据中央分批下达的资金计划，我省分4次下达2023年中央林业草原改革发展资金，分别通过《浙江省财政厅 浙江省林业局关于提前下达2023年中央林业改革发展资金预算的通知》（浙财资环〔2022〕79号）下达资金41235万元，《浙江省财政厅 浙江省林业局关于下达2023年中央林业草原改革发展资金预算的通知》（浙财资环〔2023〕29号）下达资金10735万元，《浙江省财政厅 浙江省林业局关于下达2023年中央林业草原改革发展资金（林长制督查考核奖励）预算的通知》（浙财资环〔2023〕34号）下达资金1000万元，《浙江省财政厅 浙江省林业局关于下达2023年中央林业草原改革发展资金（第四批）预算的通知》（浙财资环〔2023〕79号）下达油茶发展资金2541万元。</w:t>
      </w:r>
    </w:p>
    <w:p>
      <w:pPr>
        <w:keepNext w:val="0"/>
        <w:keepLines w:val="0"/>
        <w:pageBreakBefore w:val="0"/>
        <w:widowControl w:val="0"/>
        <w:numPr>
          <w:ilvl w:val="255"/>
          <w:numId w:val="0"/>
        </w:numPr>
        <w:kinsoku/>
        <w:wordWrap/>
        <w:overflowPunct/>
        <w:topLinePunct w:val="0"/>
        <w:autoSpaceDE/>
        <w:autoSpaceDN/>
        <w:bidi w:val="0"/>
        <w:spacing w:after="0" w:line="580" w:lineRule="exact"/>
        <w:ind w:firstLine="640" w:firstLineChars="200"/>
        <w:textAlignment w:val="auto"/>
        <w:rPr>
          <w:rFonts w:hint="eastAsia"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（二）绩效目标情况。</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中央林业草原改革发展资金的各项区域绩效目标，中央分别通过财资环〔2023〕21号、财资环〔2023〕47号和财资环〔2023〕119号文件下达。我省在下达相应资金时，同步下达区域绩效目标，并与中央下达我省的区域绩效目标一致。</w:t>
      </w:r>
    </w:p>
    <w:p>
      <w:pPr>
        <w:keepNext w:val="0"/>
        <w:keepLines w:val="0"/>
        <w:pageBreakBefore w:val="0"/>
        <w:widowControl w:val="0"/>
        <w:numPr>
          <w:ilvl w:val="255"/>
          <w:numId w:val="0"/>
        </w:numPr>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下达的指标主要包括：油茶新造面积1.05万亩，油茶低产低效林改造面积1.27万亩，造林面积7.02万亩，森林质量提升面积4.13万亩（其中：森林可持续经营1.02万亩、非天然商品林质量提升3.11万亩），非国有林生态保护补偿面积1450.99万亩（其中：国家级公益林1184.98万亩、已落实管护责任的天然商品林266.01万亩），松材线虫病防治面积357.7万亩，互花米草除治任务面积5.74万亩，国家重点林木良种基地和国家林草种质资源库当年任务面积2.62万亩，林草科技推广项目数量19个，全国森林综合监测项目样地数量735个，全国性草原综合监测样地数量119个，全国性湿地综合监测项目样地数量356个，油茶带动就业人数≥1564人等。</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二、绩效目标完成情况分析</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根据各市县和省级有关单位上报的《自评表》，经汇总并对预算执行率、总体目标完成情况、各项绩效指标完成情况等进行综合评价和分析，结果表明：2023年度中央林业草原改革发展资金涉及的各项任务均已开展实施，大部分绩效目标已完成，中央资金预算执行率为81.48%。</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（一）资金投入情况分析。</w:t>
      </w:r>
    </w:p>
    <w:p>
      <w:pPr>
        <w:keepNext w:val="0"/>
        <w:keepLines w:val="0"/>
        <w:pageBreakBefore w:val="0"/>
        <w:widowControl w:val="0"/>
        <w:kinsoku/>
        <w:wordWrap/>
        <w:overflowPunct/>
        <w:topLinePunct w:val="0"/>
        <w:autoSpaceDE/>
        <w:autoSpaceDN/>
        <w:bidi w:val="0"/>
        <w:spacing w:after="0" w:line="580" w:lineRule="exact"/>
        <w:ind w:firstLine="645"/>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1.资金到位情况</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我省共下达</w:t>
      </w:r>
      <w:r>
        <w:rPr>
          <w:rFonts w:hint="eastAsia" w:ascii="仿宋_GB2312" w:hAnsi="仿宋_GB2312" w:eastAsia="仿宋_GB2312" w:cs="仿宋_GB2312"/>
          <w:bCs/>
          <w:kern w:val="0"/>
          <w:sz w:val="32"/>
          <w:szCs w:val="32"/>
        </w:rPr>
        <w:t>2023年中央</w:t>
      </w:r>
      <w:r>
        <w:rPr>
          <w:rFonts w:hint="eastAsia" w:ascii="仿宋_GB2312" w:hAnsi="仿宋_GB2312" w:eastAsia="仿宋_GB2312" w:cs="仿宋_GB2312"/>
          <w:kern w:val="0"/>
          <w:sz w:val="32"/>
          <w:szCs w:val="32"/>
        </w:rPr>
        <w:t>林业草原改革发展</w:t>
      </w:r>
      <w:r>
        <w:rPr>
          <w:rFonts w:hint="eastAsia" w:ascii="仿宋_GB2312" w:hAnsi="仿宋_GB2312" w:eastAsia="仿宋_GB2312" w:cs="仿宋_GB2312"/>
          <w:bCs/>
          <w:kern w:val="0"/>
          <w:sz w:val="32"/>
          <w:szCs w:val="32"/>
        </w:rPr>
        <w:t>资金</w:t>
      </w:r>
      <w:r>
        <w:rPr>
          <w:rFonts w:hint="eastAsia" w:ascii="仿宋_GB2312" w:hAnsi="仿宋_GB2312" w:eastAsia="仿宋_GB2312" w:cs="仿宋_GB2312"/>
          <w:kern w:val="0"/>
          <w:sz w:val="32"/>
          <w:szCs w:val="32"/>
        </w:rPr>
        <w:t>55511万元，绩效自评结果显示各市县和5家省级单位</w:t>
      </w:r>
      <w:r>
        <w:rPr>
          <w:rFonts w:hint="eastAsia" w:ascii="仿宋_GB2312" w:hAnsi="仿宋_GB2312" w:eastAsia="仿宋_GB2312" w:cs="仿宋_GB2312"/>
          <w:bCs/>
          <w:kern w:val="0"/>
          <w:sz w:val="32"/>
          <w:szCs w:val="32"/>
        </w:rPr>
        <w:t>实际到位中央资金</w:t>
      </w:r>
      <w:r>
        <w:rPr>
          <w:rFonts w:hint="eastAsia" w:ascii="仿宋_GB2312" w:hAnsi="仿宋_GB2312" w:eastAsia="仿宋_GB2312" w:cs="仿宋_GB2312"/>
          <w:kern w:val="0"/>
          <w:sz w:val="32"/>
          <w:szCs w:val="32"/>
        </w:rPr>
        <w:t>55511</w:t>
      </w:r>
      <w:r>
        <w:rPr>
          <w:rFonts w:hint="eastAsia" w:ascii="仿宋_GB2312" w:hAnsi="仿宋_GB2312" w:eastAsia="仿宋_GB2312" w:cs="仿宋_GB2312"/>
          <w:bCs/>
          <w:kern w:val="0"/>
          <w:sz w:val="32"/>
          <w:szCs w:val="32"/>
        </w:rPr>
        <w:t>万元，与</w:t>
      </w:r>
      <w:r>
        <w:rPr>
          <w:rFonts w:hint="eastAsia" w:ascii="仿宋_GB2312" w:hAnsi="仿宋_GB2312" w:eastAsia="仿宋_GB2312" w:cs="仿宋_GB2312"/>
          <w:kern w:val="0"/>
          <w:sz w:val="32"/>
          <w:szCs w:val="32"/>
        </w:rPr>
        <w:t>省下达资金一致。其中：国土绿化支出7130万元，国土绿化支出（油茶发展）2541万元，非国有林生态保护补偿支出23216万元，林业草原支撑保障体系支出21624万元，长兴县林长制督查考核激励1000万元</w:t>
      </w:r>
      <w:r>
        <w:rPr>
          <w:rFonts w:hint="eastAsia" w:ascii="仿宋_GB2312" w:hAnsi="仿宋_GB2312" w:eastAsia="仿宋_GB2312" w:cs="仿宋_GB2312"/>
          <w:bCs/>
          <w:kern w:val="0"/>
          <w:sz w:val="32"/>
          <w:szCs w:val="32"/>
        </w:rPr>
        <w:t>。</w:t>
      </w:r>
    </w:p>
    <w:p>
      <w:pPr>
        <w:keepNext w:val="0"/>
        <w:keepLines w:val="0"/>
        <w:pageBreakBefore w:val="0"/>
        <w:widowControl w:val="0"/>
        <w:kinsoku/>
        <w:wordWrap/>
        <w:overflowPunct/>
        <w:topLinePunct w:val="0"/>
        <w:autoSpaceDE/>
        <w:autoSpaceDN/>
        <w:bidi w:val="0"/>
        <w:spacing w:after="0" w:line="580" w:lineRule="exact"/>
        <w:ind w:firstLine="645"/>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2.资金执行情况</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我省各市县和省级有关单位均</w:t>
      </w:r>
      <w:r>
        <w:rPr>
          <w:rFonts w:hint="eastAsia" w:ascii="仿宋_GB2312" w:hAnsi="仿宋_GB2312" w:eastAsia="仿宋_GB2312" w:cs="仿宋_GB2312"/>
          <w:bCs/>
          <w:kern w:val="0"/>
          <w:sz w:val="32"/>
          <w:szCs w:val="32"/>
        </w:rPr>
        <w:t>严格按照</w:t>
      </w:r>
      <w:r>
        <w:rPr>
          <w:rFonts w:hint="eastAsia" w:ascii="仿宋_GB2312" w:hAnsi="仿宋_GB2312" w:eastAsia="仿宋_GB2312" w:cs="仿宋_GB2312"/>
          <w:kern w:val="0"/>
          <w:sz w:val="32"/>
          <w:szCs w:val="32"/>
        </w:rPr>
        <w:t>《中央林业草原改革发展资金管理办法》（财资环〔2022〕171号）、《浙江省中央林业草原改革发展资金管理实施办法》（浙财资环〔2023〕24号）等有关规定使用资金，并严格规范资金支出。截至绩效评价日，中央资金实际已支出45230.53万元，资金执行率为81.48%；地方财政资金36253.89万元，实际已支出35776.41万元，资金执行率为98.68%；其他资金（含建设单位自筹）3124.39万元，实际已支出2017.59万元，资金执行率64.58%。</w:t>
      </w:r>
    </w:p>
    <w:p>
      <w:pPr>
        <w:keepNext w:val="0"/>
        <w:keepLines w:val="0"/>
        <w:pageBreakBefore w:val="0"/>
        <w:widowControl w:val="0"/>
        <w:numPr>
          <w:ilvl w:val="0"/>
          <w:numId w:val="1"/>
        </w:numPr>
        <w:kinsoku/>
        <w:wordWrap/>
        <w:overflowPunct/>
        <w:topLinePunct w:val="0"/>
        <w:autoSpaceDE/>
        <w:autoSpaceDN/>
        <w:bidi w:val="0"/>
        <w:spacing w:after="0" w:line="580" w:lineRule="exact"/>
        <w:ind w:firstLine="64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资金管理情况分析。</w:t>
      </w:r>
    </w:p>
    <w:p>
      <w:pPr>
        <w:keepNext w:val="0"/>
        <w:keepLines w:val="0"/>
        <w:pageBreakBefore w:val="0"/>
        <w:widowControl w:val="0"/>
        <w:kinsoku/>
        <w:wordWrap/>
        <w:overflowPunct/>
        <w:topLinePunct w:val="0"/>
        <w:autoSpaceDE/>
        <w:autoSpaceDN/>
        <w:bidi w:val="0"/>
        <w:spacing w:after="0" w:line="580" w:lineRule="exact"/>
        <w:ind w:firstLine="645"/>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1.资金分配下达情况</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收到中央资金下达文件后，我省严格按照《预算法》及中央和省有关规定，及时通过浙财资环〔2022〕79号、浙财资环〔2023〕29号、浙财资环〔2023〕34号和浙财资环〔2023〕79号</w:t>
      </w:r>
      <w:r>
        <w:rPr>
          <w:rFonts w:hint="eastAsia" w:ascii="仿宋_GB2312" w:hAnsi="仿宋_GB2312" w:eastAsia="仿宋_GB2312" w:cs="仿宋_GB2312"/>
          <w:kern w:val="0"/>
          <w:sz w:val="32"/>
          <w:szCs w:val="32"/>
          <w:lang w:eastAsia="zh-CN"/>
        </w:rPr>
        <w:t>文件</w:t>
      </w:r>
      <w:r>
        <w:rPr>
          <w:rFonts w:hint="eastAsia" w:ascii="仿宋_GB2312" w:hAnsi="仿宋_GB2312" w:eastAsia="仿宋_GB2312" w:cs="仿宋_GB2312"/>
          <w:kern w:val="0"/>
          <w:sz w:val="32"/>
          <w:szCs w:val="32"/>
        </w:rPr>
        <w:t>，将中央资金下达到各市县和省级有关单位。分配下达资金</w:t>
      </w:r>
      <w:r>
        <w:rPr>
          <w:rFonts w:hint="eastAsia" w:ascii="仿宋_GB2312" w:hAnsi="仿宋_GB2312" w:eastAsia="仿宋_GB2312" w:cs="仿宋_GB2312"/>
          <w:kern w:val="0"/>
          <w:sz w:val="32"/>
          <w:szCs w:val="32"/>
          <w:lang w:eastAsia="zh-CN"/>
        </w:rPr>
        <w:t>数</w:t>
      </w:r>
      <w:r>
        <w:rPr>
          <w:rFonts w:hint="eastAsia" w:ascii="仿宋_GB2312" w:hAnsi="仿宋_GB2312" w:eastAsia="仿宋_GB2312" w:cs="仿宋_GB2312"/>
          <w:kern w:val="0"/>
          <w:sz w:val="32"/>
          <w:szCs w:val="32"/>
        </w:rPr>
        <w:t>与中央下达我省一致。</w:t>
      </w:r>
    </w:p>
    <w:p>
      <w:pPr>
        <w:keepNext w:val="0"/>
        <w:keepLines w:val="0"/>
        <w:pageBreakBefore w:val="0"/>
        <w:widowControl w:val="0"/>
        <w:kinsoku/>
        <w:wordWrap/>
        <w:overflowPunct/>
        <w:topLinePunct w:val="0"/>
        <w:autoSpaceDE/>
        <w:autoSpaceDN/>
        <w:bidi w:val="0"/>
        <w:spacing w:after="0" w:line="580" w:lineRule="exact"/>
        <w:ind w:firstLine="645"/>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2.资金使用执行情况</w:t>
      </w:r>
    </w:p>
    <w:p>
      <w:pPr>
        <w:keepNext w:val="0"/>
        <w:keepLines w:val="0"/>
        <w:pageBreakBefore w:val="0"/>
        <w:widowControl w:val="0"/>
        <w:numPr>
          <w:ilvl w:val="255"/>
          <w:numId w:val="0"/>
        </w:numPr>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对各地上报的绩效自评材料进行汇总分析，各地财政部门均及时将中央资金拨付至使用单位。全省资金使用情况总体较好，各市县和省级有关单位均严格按照中央资金管理有关要求组织项目（任务）实施，资金支付按照国库集中支付制度有关规定执行，属于政府采购范围的，严格按照政府采购有关规定执行，未存在截留、挤占、挪用、擅自调整和偏离预算等问题。</w:t>
      </w:r>
    </w:p>
    <w:p>
      <w:pPr>
        <w:keepNext w:val="0"/>
        <w:keepLines w:val="0"/>
        <w:pageBreakBefore w:val="0"/>
        <w:widowControl w:val="0"/>
        <w:kinsoku/>
        <w:wordWrap/>
        <w:overflowPunct/>
        <w:topLinePunct w:val="0"/>
        <w:autoSpaceDE/>
        <w:autoSpaceDN/>
        <w:bidi w:val="0"/>
        <w:spacing w:after="0" w:line="580" w:lineRule="exact"/>
        <w:ind w:firstLine="645"/>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3.预算绩效管理和支出责任履行情况</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各市县和省级有关单位及时将资金纳入本级预算或对下级转移支付预算绩效管理，定期开展绩效监控和绩效评价；严格按照财政事权和支出责任划分有关规定，安排资金履行本级支出责任。为进一步强化预算绩效管理，提高资金使用效益，省林业局联合省财政厅每年组织对中央资金开展绩效</w:t>
      </w:r>
      <w:r>
        <w:rPr>
          <w:rFonts w:hint="eastAsia" w:ascii="仿宋_GB2312" w:hAnsi="仿宋_GB2312" w:eastAsia="仿宋_GB2312" w:cs="仿宋_GB2312"/>
          <w:kern w:val="0"/>
          <w:sz w:val="32"/>
          <w:szCs w:val="32"/>
          <w:lang w:val="en-US" w:eastAsia="zh-CN"/>
        </w:rPr>
        <w:t>自评</w:t>
      </w:r>
      <w:r>
        <w:rPr>
          <w:rFonts w:hint="eastAsia" w:ascii="仿宋_GB2312" w:hAnsi="仿宋_GB2312" w:eastAsia="仿宋_GB2312" w:cs="仿宋_GB2312"/>
          <w:kern w:val="0"/>
          <w:sz w:val="32"/>
          <w:szCs w:val="32"/>
        </w:rPr>
        <w:t>并进行实地绩效复评，评价结果在一定范围内公开。</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（三）总体绩效指标完成情况分析。</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仿宋_GB2312" w:hAnsi="仿宋_GB2312" w:eastAsia="仿宋_GB2312" w:cs="仿宋_GB2312"/>
          <w:kern w:val="0"/>
          <w:sz w:val="32"/>
          <w:szCs w:val="32"/>
          <w:highlight w:val="yellow"/>
        </w:rPr>
      </w:pPr>
      <w:r>
        <w:rPr>
          <w:rFonts w:hint="eastAsia" w:ascii="仿宋_GB2312" w:hAnsi="仿宋_GB2312" w:eastAsia="仿宋_GB2312" w:cs="仿宋_GB2312"/>
          <w:kern w:val="0"/>
          <w:sz w:val="32"/>
          <w:szCs w:val="32"/>
        </w:rPr>
        <w:t>我省在下达中央资金时，同步细化下达绩效目标。</w:t>
      </w:r>
      <w:r>
        <w:rPr>
          <w:rFonts w:hint="eastAsia" w:ascii="仿宋_GB2312" w:hAnsi="仿宋_GB2312" w:eastAsia="仿宋_GB2312" w:cs="仿宋_GB2312"/>
          <w:kern w:val="0"/>
          <w:sz w:val="32"/>
          <w:szCs w:val="32"/>
          <w:lang w:bidi="ar"/>
        </w:rPr>
        <w:t>通过不定期对项目实施和资金执行进行实地督促指导，推动提高市县项目管理水平。</w:t>
      </w:r>
      <w:r>
        <w:rPr>
          <w:rFonts w:hint="eastAsia" w:ascii="仿宋_GB2312" w:hAnsi="仿宋_GB2312" w:eastAsia="仿宋_GB2312" w:cs="仿宋_GB2312"/>
          <w:kern w:val="0"/>
          <w:sz w:val="32"/>
          <w:szCs w:val="32"/>
        </w:rPr>
        <w:t>通过全省开展大规模国土绿化和森林可持续经营提升，切实增加了全省造林面积并提升了森林质量；及时完成非国有林生态保护补偿，并严格按照补助标准进行资金补助；开展国家重点林木良种基地和国家林草种质资源库建设，进一步提升了林木良种培育能力；大力开展松材线虫病虫害防治和互花米草除治工作，加大森林防火队伍建设，全省防灾减灾能力得到明显提升；通过开展林业先进技术研究、推广和示范，有效提升了全省林业科技水平和服务林农能力；通过油茶项目实施，示范带动了全省油茶产业发展，促进山区林农增收致富，助力浙江省山区跨越式高质量发展和共同富裕示范区建设。</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（四）绩效指标完成情况分析。</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1.数量指标。</w:t>
      </w:r>
      <w:r>
        <w:rPr>
          <w:rFonts w:hint="eastAsia" w:ascii="仿宋_GB2312" w:hAnsi="仿宋_GB2312" w:eastAsia="仿宋_GB2312" w:cs="仿宋_GB2312"/>
          <w:kern w:val="0"/>
          <w:sz w:val="32"/>
          <w:szCs w:val="32"/>
        </w:rPr>
        <w:t>截至绩效评价日，全省已完成油茶新造面积1.08万亩，油茶低产低效林改造面积1.32万亩，造林面积7.23万亩；完成森林质量提升面积7.63万亩，其中：森林可持续经营面积1.02万亩，非天然商品林质量提升面积7.1万亩；对非国有林生态保护补偿面积1451万亩落实补偿，其中：国家级公益林面积1184.99万亩，已落实责任的天然商品林面积7.1万亩；</w:t>
      </w:r>
      <w:r>
        <w:rPr>
          <w:rFonts w:hint="eastAsia" w:ascii="仿宋_GB2312" w:hAnsi="仿宋_GB2312" w:eastAsia="仿宋_GB2312" w:cs="仿宋_GB2312"/>
          <w:kern w:val="0"/>
          <w:sz w:val="32"/>
          <w:szCs w:val="32"/>
        </w:rPr>
        <w:t>完成</w:t>
      </w:r>
      <w:r>
        <w:rPr>
          <w:rFonts w:hint="eastAsia" w:ascii="仿宋_GB2312" w:hAnsi="仿宋_GB2312" w:eastAsia="仿宋_GB2312" w:cs="仿宋_GB2312"/>
          <w:kern w:val="0"/>
          <w:sz w:val="32"/>
          <w:szCs w:val="32"/>
        </w:rPr>
        <w:t>松材线虫病防治面积419.26万亩；互花米草除治任务面积7.82万亩；完成国家重点林木良种基地和国家林草种质资源库当年任务</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面积2.65万亩；开展林草科技推广项目19个；开展全国性森林综合监测项目样地数量735个、全国性草原综合监测项目样地数量119个、全国性湿地综合监测项目样地数量356个。上述指标均达到中央下达的数量指标。</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2.质量指标。</w:t>
      </w:r>
      <w:r>
        <w:rPr>
          <w:rFonts w:hint="eastAsia" w:ascii="仿宋_GB2312" w:hAnsi="仿宋_GB2312" w:eastAsia="仿宋_GB2312" w:cs="仿宋_GB2312"/>
          <w:bCs/>
          <w:kern w:val="0"/>
          <w:sz w:val="32"/>
          <w:szCs w:val="32"/>
        </w:rPr>
        <w:t>各地</w:t>
      </w:r>
      <w:r>
        <w:rPr>
          <w:rFonts w:hint="eastAsia" w:ascii="仿宋_GB2312" w:hAnsi="仿宋_GB2312" w:eastAsia="仿宋_GB2312" w:cs="仿宋_GB2312"/>
          <w:kern w:val="0"/>
          <w:sz w:val="32"/>
          <w:szCs w:val="32"/>
        </w:rPr>
        <w:t>在项目实施过程中，严格控制项目质量，确保项目实施成效。具体指标完成情况如下：油茶新造林成活率92.19%，低产低效林改造油茶存活率92.05%，油茶良种使用率100%，造林面积合格率92.69%，森林质量提升面积合格率94.5%，非天然商品林质量提升面积合格率96.81%，森林火灾受害率0.13‰，松材线虫病防控目标任务完成率92.29%，非国有林管</w:t>
      </w:r>
      <w:r>
        <w:rPr>
          <w:rFonts w:hint="eastAsia" w:ascii="仿宋_GB2312" w:hAnsi="仿宋_GB2312" w:eastAsia="仿宋_GB2312" w:cs="仿宋_GB2312"/>
          <w:kern w:val="0"/>
          <w:sz w:val="32"/>
          <w:szCs w:val="32"/>
          <w:lang w:eastAsia="zh-CN"/>
        </w:rPr>
        <w:t>护</w:t>
      </w:r>
      <w:r>
        <w:rPr>
          <w:rFonts w:hint="eastAsia" w:ascii="仿宋_GB2312" w:hAnsi="仿宋_GB2312" w:eastAsia="仿宋_GB2312" w:cs="仿宋_GB2312"/>
          <w:kern w:val="0"/>
          <w:sz w:val="32"/>
          <w:szCs w:val="32"/>
        </w:rPr>
        <w:t>责任落实率100%，均达到中央下达的质量指标。</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
          <w:kern w:val="0"/>
          <w:sz w:val="32"/>
          <w:szCs w:val="32"/>
        </w:rPr>
        <w:t>3.时效指标。</w:t>
      </w:r>
      <w:r>
        <w:rPr>
          <w:rFonts w:hint="eastAsia" w:ascii="仿宋_GB2312" w:hAnsi="仿宋_GB2312" w:eastAsia="仿宋_GB2312" w:cs="仿宋_GB2312"/>
          <w:kern w:val="0"/>
          <w:sz w:val="32"/>
          <w:szCs w:val="32"/>
        </w:rPr>
        <w:t>截至绩效评价日，油茶新造当期任务完成率102.86%，油茶改造当期任务完成率103.94%，造林当期任务完成率10</w:t>
      </w:r>
      <w:r>
        <w:rPr>
          <w:rFonts w:hint="eastAsia" w:ascii="仿宋_GB2312" w:hAnsi="仿宋_GB2312" w:eastAsia="仿宋_GB2312" w:cs="仿宋_GB2312"/>
          <w:kern w:val="0"/>
          <w:sz w:val="32"/>
          <w:szCs w:val="32"/>
          <w:lang w:eastAsia="zh"/>
        </w:rPr>
        <w:t>2.99</w:t>
      </w:r>
      <w:r>
        <w:rPr>
          <w:rFonts w:hint="eastAsia" w:ascii="仿宋_GB2312" w:hAnsi="仿宋_GB2312" w:eastAsia="仿宋_GB2312" w:cs="仿宋_GB2312"/>
          <w:kern w:val="0"/>
          <w:sz w:val="32"/>
          <w:szCs w:val="32"/>
        </w:rPr>
        <w:t>%，森林可持续经营当期任务完成率100%，非天然商品林质量提升当期任务完成率2</w:t>
      </w:r>
      <w:r>
        <w:rPr>
          <w:rFonts w:hint="eastAsia" w:ascii="仿宋_GB2312" w:hAnsi="仿宋_GB2312" w:eastAsia="仿宋_GB2312" w:cs="仿宋_GB2312"/>
          <w:kern w:val="0"/>
          <w:sz w:val="32"/>
          <w:szCs w:val="32"/>
          <w:lang w:eastAsia="zh"/>
        </w:rPr>
        <w:t>28.3</w:t>
      </w:r>
      <w:r>
        <w:rPr>
          <w:rFonts w:hint="eastAsia" w:ascii="仿宋_GB2312" w:hAnsi="仿宋_GB2312" w:eastAsia="仿宋_GB2312" w:cs="仿宋_GB2312"/>
          <w:kern w:val="0"/>
          <w:sz w:val="32"/>
          <w:szCs w:val="32"/>
        </w:rPr>
        <w:t>%，非国有林生态保护补偿当期任务完成率99.41%，均达到中央下达的时效指标。</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4.成本指标。</w:t>
      </w:r>
      <w:r>
        <w:rPr>
          <w:rFonts w:hint="eastAsia" w:ascii="仿宋_GB2312" w:hAnsi="仿宋_GB2312" w:eastAsia="仿宋_GB2312" w:cs="仿宋_GB2312"/>
          <w:kern w:val="0"/>
          <w:sz w:val="32"/>
          <w:szCs w:val="32"/>
        </w:rPr>
        <w:t>中央下达我省非国有林管护补助成本为16元/亩。我省在实施非国有林管护补助时，国家级公益林按照浙江省省级以上公益林分档补助标准，分别以33元/亩、40元/亩进行补助；非国有天然林按照中央下达标准16元/亩进行补助。</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5.效益指标。</w:t>
      </w:r>
      <w:r>
        <w:rPr>
          <w:rFonts w:hint="eastAsia" w:ascii="仿宋_GB2312" w:hAnsi="仿宋_GB2312" w:eastAsia="仿宋_GB2312" w:cs="仿宋_GB2312"/>
          <w:b w:val="0"/>
          <w:bCs w:val="0"/>
          <w:kern w:val="0"/>
          <w:sz w:val="32"/>
          <w:szCs w:val="32"/>
          <w:lang w:eastAsia="zh-CN"/>
          <w:rPrChange w:id="0" w:author="汪雄英" w:date="2024-04-02T14:09:36Z">
            <w:rPr>
              <w:rFonts w:hint="eastAsia" w:ascii="仿宋_GB2312" w:hAnsi="仿宋_GB2312" w:eastAsia="仿宋_GB2312" w:cs="仿宋_GB2312"/>
              <w:b/>
              <w:bCs/>
              <w:kern w:val="0"/>
              <w:sz w:val="32"/>
              <w:szCs w:val="32"/>
              <w:lang w:eastAsia="zh-CN"/>
            </w:rPr>
          </w:rPrChange>
        </w:rPr>
        <w:t>经</w:t>
      </w:r>
      <w:r>
        <w:rPr>
          <w:rFonts w:hint="eastAsia" w:ascii="仿宋_GB2312" w:hAnsi="仿宋_GB2312" w:eastAsia="仿宋_GB2312" w:cs="仿宋_GB2312"/>
          <w:kern w:val="0"/>
          <w:sz w:val="32"/>
          <w:szCs w:val="32"/>
        </w:rPr>
        <w:t>汇总分析各市县和单位上报材料，通过2023年中央项目实施，全省油茶营造带动就业人数1660人，非国有林得到有效管护，森林、草原、荒漠生态系统生态效益发挥明显，林业草原有害生物无公害防治成效明显，森林、草原、荒漠生态系统功能改善可持续影响效益明显，各项指标均达到中央下达的效益指标。</w:t>
      </w:r>
    </w:p>
    <w:p>
      <w:pPr>
        <w:keepNext w:val="0"/>
        <w:keepLines w:val="0"/>
        <w:pageBreakBefore w:val="0"/>
        <w:widowControl w:val="0"/>
        <w:kinsoku/>
        <w:wordWrap/>
        <w:overflowPunct/>
        <w:topLinePunct w:val="0"/>
        <w:autoSpaceDE/>
        <w:autoSpaceDN/>
        <w:bidi w:val="0"/>
        <w:spacing w:after="0" w:line="58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6.服务对象满意度指标。</w:t>
      </w:r>
      <w:r>
        <w:rPr>
          <w:rFonts w:hint="eastAsia" w:ascii="仿宋_GB2312" w:hAnsi="仿宋_GB2312" w:eastAsia="仿宋_GB2312" w:cs="仿宋_GB2312"/>
          <w:kern w:val="0"/>
          <w:sz w:val="32"/>
          <w:szCs w:val="32"/>
        </w:rPr>
        <w:t>通过加强对公益林和天然林管护，开展林木良种、造林、湿地补助等项目实施，为林区提供大量岗位，增加社会就业人口，提高了林农收入，同时林区生态环境也得到显著改善。项目涉及职工和周边群众满意度达95.02%，达到中央下达的满意度指标。</w:t>
      </w:r>
    </w:p>
    <w:p>
      <w:pPr>
        <w:keepNext w:val="0"/>
        <w:keepLines w:val="0"/>
        <w:pageBreakBefore w:val="0"/>
        <w:widowControl w:val="0"/>
        <w:kinsoku/>
        <w:wordWrap/>
        <w:overflowPunct/>
        <w:topLinePunct w:val="0"/>
        <w:autoSpaceDE/>
        <w:autoSpaceDN/>
        <w:bidi w:val="0"/>
        <w:snapToGrid w:val="0"/>
        <w:spacing w:after="0" w:line="58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三、偏离绩效目标的原因和下一步改进措施</w:t>
      </w:r>
    </w:p>
    <w:p>
      <w:pPr>
        <w:keepNext w:val="0"/>
        <w:keepLines w:val="0"/>
        <w:pageBreakBefore w:val="0"/>
        <w:widowControl w:val="0"/>
        <w:numPr>
          <w:ilvl w:val="255"/>
          <w:numId w:val="0"/>
        </w:numPr>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我省超额完成了</w:t>
      </w:r>
      <w:r>
        <w:rPr>
          <w:rFonts w:hint="eastAsia" w:ascii="仿宋_GB2312" w:hAnsi="仿宋_GB2312" w:eastAsia="仿宋_GB2312" w:cs="仿宋_GB2312"/>
          <w:kern w:val="0"/>
          <w:sz w:val="32"/>
          <w:szCs w:val="32"/>
          <w:lang w:val="en-US" w:eastAsia="zh-CN"/>
        </w:rPr>
        <w:t>2023年</w:t>
      </w:r>
      <w:bookmarkStart w:id="0" w:name="_GoBack"/>
      <w:bookmarkEnd w:id="0"/>
      <w:r>
        <w:rPr>
          <w:rFonts w:hint="eastAsia" w:ascii="仿宋_GB2312" w:hAnsi="仿宋_GB2312" w:eastAsia="仿宋_GB2312" w:cs="仿宋_GB2312"/>
          <w:kern w:val="0"/>
          <w:sz w:val="32"/>
          <w:szCs w:val="32"/>
        </w:rPr>
        <w:t>中央下达的部分指标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一是中央下达我省森林质量提升面积</w:t>
      </w:r>
      <w:r>
        <w:rPr>
          <w:rFonts w:hint="eastAsia" w:ascii="仿宋_GB2312" w:hAnsi="仿宋_GB2312" w:eastAsia="仿宋_GB2312" w:cs="仿宋_GB2312"/>
          <w:kern w:val="0"/>
          <w:sz w:val="32"/>
          <w:szCs w:val="32"/>
          <w:lang w:eastAsia="zh"/>
        </w:rPr>
        <w:t>4.13</w:t>
      </w:r>
      <w:r>
        <w:rPr>
          <w:rFonts w:hint="eastAsia" w:ascii="仿宋_GB2312" w:hAnsi="仿宋_GB2312" w:eastAsia="仿宋_GB2312" w:cs="仿宋_GB2312"/>
          <w:kern w:val="0"/>
          <w:sz w:val="32"/>
          <w:szCs w:val="32"/>
        </w:rPr>
        <w:t>万亩，我省实际完成7.63万亩，超出绩效目标</w:t>
      </w:r>
      <w:r>
        <w:rPr>
          <w:rFonts w:hint="eastAsia" w:ascii="仿宋_GB2312" w:hAnsi="仿宋_GB2312" w:eastAsia="仿宋_GB2312" w:cs="仿宋_GB2312"/>
          <w:kern w:val="0"/>
          <w:sz w:val="32"/>
          <w:szCs w:val="32"/>
          <w:lang w:eastAsia="zh"/>
        </w:rPr>
        <w:t>84.75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二是中央下达我省互花米草除治任务面积5.74万亩，我省实际完成7.82万亩，超出绩效目标36.24%。</w:t>
      </w:r>
      <w:r>
        <w:rPr>
          <w:rFonts w:hint="eastAsia" w:ascii="仿宋_GB2312" w:hAnsi="仿宋_GB2312" w:eastAsia="仿宋_GB2312" w:cs="仿宋_GB2312"/>
          <w:kern w:val="0"/>
          <w:sz w:val="32"/>
          <w:szCs w:val="32"/>
          <w:lang w:val="en-US" w:eastAsia="zh-CN"/>
        </w:rPr>
        <w:t>主要原因为：</w:t>
      </w:r>
      <w:r>
        <w:rPr>
          <w:rFonts w:hint="eastAsia" w:ascii="仿宋_GB2312" w:hAnsi="仿宋_GB2312" w:eastAsia="仿宋_GB2312" w:cs="仿宋_GB2312"/>
          <w:kern w:val="0"/>
          <w:sz w:val="32"/>
          <w:szCs w:val="32"/>
        </w:rPr>
        <w:t>一是我省积极开展森林质量精准提升，推进林分结构优化和森林景观美化，充分利用各类资金进行森林抚育，调整树种结构，提高森林林分质量</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二是我省沿海地区充分开展病虫害防治，积极开展互花米草除治，确保生态安全。</w:t>
      </w:r>
    </w:p>
    <w:p>
      <w:pPr>
        <w:keepNext w:val="0"/>
        <w:keepLines w:val="0"/>
        <w:pageBreakBefore w:val="0"/>
        <w:widowControl w:val="0"/>
        <w:numPr>
          <w:ilvl w:val="255"/>
          <w:numId w:val="0"/>
        </w:numPr>
        <w:kinsoku/>
        <w:wordWrap/>
        <w:overflowPunct/>
        <w:topLinePunct w:val="0"/>
        <w:autoSpaceDE/>
        <w:autoSpaceDN/>
        <w:bidi w:val="0"/>
        <w:adjustRightInd w:val="0"/>
        <w:snapToGrid w:val="0"/>
        <w:spacing w:after="0" w:line="58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四、绩效自评结果拟应用和公开情况</w:t>
      </w:r>
    </w:p>
    <w:p>
      <w:pPr>
        <w:keepNext w:val="0"/>
        <w:keepLines w:val="0"/>
        <w:pageBreakBefore w:val="0"/>
        <w:widowControl w:val="0"/>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省林业局将对本次绩效评价结果在一定范围内予以公开，同时计划联合省财政厅对部分市县和省级单位的绩效评价情况进行抽查，评价结果运用于下一年度资金安排。</w:t>
      </w:r>
    </w:p>
    <w:p>
      <w:pPr>
        <w:keepNext w:val="0"/>
        <w:keepLines w:val="0"/>
        <w:pageBreakBefore w:val="0"/>
        <w:widowControl w:val="0"/>
        <w:numPr>
          <w:ilvl w:val="0"/>
          <w:numId w:val="2"/>
        </w:numPr>
        <w:kinsoku/>
        <w:wordWrap/>
        <w:overflowPunct/>
        <w:topLinePunct w:val="0"/>
        <w:autoSpaceDE/>
        <w:autoSpaceDN/>
        <w:bidi w:val="0"/>
        <w:adjustRightInd w:val="0"/>
        <w:snapToGrid w:val="0"/>
        <w:spacing w:after="0" w:line="58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其他需要说明的情况</w:t>
      </w:r>
    </w:p>
    <w:p>
      <w:pPr>
        <w:pStyle w:val="2"/>
        <w:keepNext w:val="0"/>
        <w:keepLines w:val="0"/>
        <w:pageBreakBefore w:val="0"/>
        <w:widowControl w:val="0"/>
        <w:numPr>
          <w:ilvl w:val="255"/>
          <w:numId w:val="0"/>
        </w:numPr>
        <w:kinsoku/>
        <w:wordWrap/>
        <w:overflowPunct/>
        <w:topLinePunct w:val="0"/>
        <w:autoSpaceDE/>
        <w:autoSpaceDN/>
        <w:bidi w:val="0"/>
        <w:spacing w:after="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kern w:val="0"/>
          <w:sz w:val="32"/>
          <w:szCs w:val="32"/>
        </w:rPr>
        <w:t>无。</w:t>
      </w:r>
    </w:p>
    <w:sectPr>
      <w:footerReference r:id="rId6" w:type="default"/>
      <w:headerReference r:id="rId5" w:type="even"/>
      <w:footerReference r:id="rId7" w:type="even"/>
      <w:pgSz w:w="11906" w:h="16838"/>
      <w:pgMar w:top="1928" w:right="1304" w:bottom="1531" w:left="1531" w:header="851" w:footer="1474" w:gutter="0"/>
      <w:pgNumType w:start="14"/>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10FDE7-255B-4656-989C-5B33A07DB7D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9D8A37D-4D0D-4B2D-8D8F-E6F930AE9792}"/>
  </w:font>
  <w:font w:name="方正小标宋简体">
    <w:panose1 w:val="03000509000000000000"/>
    <w:charset w:val="86"/>
    <w:family w:val="script"/>
    <w:pitch w:val="default"/>
    <w:sig w:usb0="00000001" w:usb1="080E0000" w:usb2="00000000" w:usb3="00000000" w:csb0="00040000" w:csb1="00000000"/>
    <w:embedRegular r:id="rId3" w:fontKey="{3C86A2AE-07B5-4DF0-97BB-097D890B28F8}"/>
  </w:font>
  <w:font w:name="楷体_GB2312">
    <w:panose1 w:val="02010609030101010101"/>
    <w:charset w:val="86"/>
    <w:family w:val="auto"/>
    <w:pitch w:val="default"/>
    <w:sig w:usb0="00000001" w:usb1="080E0000" w:usb2="00000000" w:usb3="00000000" w:csb0="00040000" w:csb1="00000000"/>
    <w:embedRegular r:id="rId4" w:fontKey="{971145BA-E4D7-432E-AEC2-3ED0614D24CF}"/>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tabs>
        <w:tab w:val="left" w:pos="8789"/>
      </w:tabs>
      <w:kinsoku/>
      <w:wordWrap/>
      <w:overflowPunct/>
      <w:topLinePunct w:val="0"/>
      <w:autoSpaceDE/>
      <w:autoSpaceDN/>
      <w:bidi w:val="0"/>
      <w:adjustRightInd/>
      <w:snapToGrid w:val="0"/>
      <w:spacing w:after="0" w:line="360" w:lineRule="exact"/>
      <w:textAlignment w:val="auto"/>
      <w:rPr>
        <w:rFonts w:ascii="仿宋_GB2312" w:eastAsia="仿宋_GB2312"/>
      </w:rPr>
    </w:pPr>
    <w:r>
      <w:rPr>
        <w:sz w:val="18"/>
      </w:rPr>
      <mc:AlternateContent>
        <mc:Choice Requires="wps">
          <w:drawing>
            <wp:anchor distT="0" distB="0" distL="114300" distR="114300" simplePos="0" relativeHeight="251660288" behindDoc="0" locked="0" layoutInCell="1" allowOverlap="1">
              <wp:simplePos x="0" y="0"/>
              <wp:positionH relativeFrom="margin">
                <wp:posOffset>2819400</wp:posOffset>
              </wp:positionH>
              <wp:positionV relativeFrom="paragraph">
                <wp:posOffset>62865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2pt;margin-top:4.95pt;height:144pt;width:144pt;mso-position-horizontal-relative:margin;mso-wrap-style:none;z-index:251660288;mso-width-relative:page;mso-height-relative:page;" filled="f" stroked="f" coordsize="21600,21600" o:gfxdata="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AMxkbWAAAACQ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5"/>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2791460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9.8pt;margin-top:0pt;height:144pt;width:144pt;mso-position-horizontal-relative:margin;mso-wrap-style:none;z-index:251659264;mso-width-relative:page;mso-height-relative:page;" filled="f" stroked="f" coordsize="21600,21600" o:gfxdata="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2EeCPtUAAAAIAQAADwAAAAAAAAABACAAAAAiAAAAZHJzL2Rvd25yZXYueG1sUEsBAhQAFAAA&#10;AAgAh07iQAVhjD8rAgAAVQQAAA4AAAAAAAAAAQAgAAAAJAEAAGRycy9lMm9Eb2MueG1sUEsFBgAA&#10;AAAGAAYAWQEAAMEFAAAAAA==&#10;">
              <v:fill on="f" focussize="0,0"/>
              <v:stroke on="f" weight="0.5pt"/>
              <v:imagedata o:title=""/>
              <o:lock v:ext="edit" aspectratio="f"/>
              <v:textbox inset="0mm,0mm,0mm,0mm" style="mso-fit-shape-to-text:t;">
                <w:txbxContent>
                  <w:p>
                    <w:pPr>
                      <w:pStyle w:val="5"/>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C1E99F"/>
    <w:multiLevelType w:val="singleLevel"/>
    <w:tmpl w:val="E6C1E99F"/>
    <w:lvl w:ilvl="0" w:tentative="0">
      <w:start w:val="5"/>
      <w:numFmt w:val="chineseCounting"/>
      <w:suff w:val="nothing"/>
      <w:lvlText w:val="%1、"/>
      <w:lvlJc w:val="left"/>
      <w:rPr>
        <w:rFonts w:hint="eastAsia"/>
      </w:rPr>
    </w:lvl>
  </w:abstractNum>
  <w:abstractNum w:abstractNumId="1">
    <w:nsid w:val="E7FEC6F6"/>
    <w:multiLevelType w:val="singleLevel"/>
    <w:tmpl w:val="E7FEC6F6"/>
    <w:lvl w:ilvl="0" w:tentative="0">
      <w:start w:val="2"/>
      <w:numFmt w:val="chineseCounting"/>
      <w:suff w:val="nothing"/>
      <w:lvlText w:val="（%1）"/>
      <w:lvlJc w:val="left"/>
      <w:pPr>
        <w:ind w:left="-10"/>
      </w:pPr>
      <w:rPr>
        <w:rFonts w:hint="eastAsia" w:ascii="楷体_GB2312" w:hAnsi="楷体_GB2312" w:eastAsia="楷体_GB2312" w:cs="楷体_GB2312"/>
        <w:sz w:val="32"/>
        <w:szCs w:val="32"/>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汪雄英">
    <w15:presenceInfo w15:providerId="None" w15:userId="汪雄英"/>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revisionView w:markup="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lM2FiMmNlMjU1NjY4OTcyNWNmYTZkZDMzN2RkMjAifQ=="/>
  </w:docVars>
  <w:rsids>
    <w:rsidRoot w:val="52B83CAC"/>
    <w:rsid w:val="00040130"/>
    <w:rsid w:val="00055D79"/>
    <w:rsid w:val="000664CF"/>
    <w:rsid w:val="00071282"/>
    <w:rsid w:val="00176705"/>
    <w:rsid w:val="00187E54"/>
    <w:rsid w:val="001A2830"/>
    <w:rsid w:val="001A53BA"/>
    <w:rsid w:val="001A5E7F"/>
    <w:rsid w:val="00202526"/>
    <w:rsid w:val="002828BA"/>
    <w:rsid w:val="002865B0"/>
    <w:rsid w:val="002B6FB7"/>
    <w:rsid w:val="002C4CD5"/>
    <w:rsid w:val="003569F5"/>
    <w:rsid w:val="00391F31"/>
    <w:rsid w:val="00394352"/>
    <w:rsid w:val="003A7AA7"/>
    <w:rsid w:val="003B1642"/>
    <w:rsid w:val="00421DFF"/>
    <w:rsid w:val="00457330"/>
    <w:rsid w:val="004862E0"/>
    <w:rsid w:val="00486570"/>
    <w:rsid w:val="00486D3F"/>
    <w:rsid w:val="004B7AB5"/>
    <w:rsid w:val="004D6123"/>
    <w:rsid w:val="004F4ABE"/>
    <w:rsid w:val="00515AC6"/>
    <w:rsid w:val="00533851"/>
    <w:rsid w:val="00572C85"/>
    <w:rsid w:val="005A6790"/>
    <w:rsid w:val="00650934"/>
    <w:rsid w:val="006C2444"/>
    <w:rsid w:val="007114BC"/>
    <w:rsid w:val="007119D6"/>
    <w:rsid w:val="00770570"/>
    <w:rsid w:val="00772E58"/>
    <w:rsid w:val="00777016"/>
    <w:rsid w:val="007E2E87"/>
    <w:rsid w:val="00817B46"/>
    <w:rsid w:val="00845732"/>
    <w:rsid w:val="00863C6A"/>
    <w:rsid w:val="0097207E"/>
    <w:rsid w:val="00975658"/>
    <w:rsid w:val="00996370"/>
    <w:rsid w:val="00AB2E74"/>
    <w:rsid w:val="00AD5D0E"/>
    <w:rsid w:val="00BA2E4E"/>
    <w:rsid w:val="00BB0FBC"/>
    <w:rsid w:val="00BB1718"/>
    <w:rsid w:val="00C10B35"/>
    <w:rsid w:val="00C270A6"/>
    <w:rsid w:val="00C7003C"/>
    <w:rsid w:val="00C91429"/>
    <w:rsid w:val="00CB7B6E"/>
    <w:rsid w:val="00CD0057"/>
    <w:rsid w:val="00D01302"/>
    <w:rsid w:val="00D33564"/>
    <w:rsid w:val="00D82A43"/>
    <w:rsid w:val="00D867E1"/>
    <w:rsid w:val="00DA21BD"/>
    <w:rsid w:val="00DA39D0"/>
    <w:rsid w:val="00E62426"/>
    <w:rsid w:val="00EF346A"/>
    <w:rsid w:val="00F0344A"/>
    <w:rsid w:val="00F355FF"/>
    <w:rsid w:val="00FA13B4"/>
    <w:rsid w:val="01046AC3"/>
    <w:rsid w:val="0109462A"/>
    <w:rsid w:val="0112277B"/>
    <w:rsid w:val="015461F9"/>
    <w:rsid w:val="0176306E"/>
    <w:rsid w:val="018D33A7"/>
    <w:rsid w:val="01AD2EBB"/>
    <w:rsid w:val="01CE5441"/>
    <w:rsid w:val="01FA01CD"/>
    <w:rsid w:val="02081A66"/>
    <w:rsid w:val="024769EE"/>
    <w:rsid w:val="028725FA"/>
    <w:rsid w:val="02DA6F1B"/>
    <w:rsid w:val="02E0116E"/>
    <w:rsid w:val="02F375EE"/>
    <w:rsid w:val="032E281F"/>
    <w:rsid w:val="03422A61"/>
    <w:rsid w:val="036A25A2"/>
    <w:rsid w:val="036D69E0"/>
    <w:rsid w:val="03996F44"/>
    <w:rsid w:val="03CF6879"/>
    <w:rsid w:val="040A524B"/>
    <w:rsid w:val="04140E87"/>
    <w:rsid w:val="046C4580"/>
    <w:rsid w:val="04EF1E86"/>
    <w:rsid w:val="05026F64"/>
    <w:rsid w:val="055D1905"/>
    <w:rsid w:val="05735427"/>
    <w:rsid w:val="058C2BBC"/>
    <w:rsid w:val="05916A40"/>
    <w:rsid w:val="05B72C03"/>
    <w:rsid w:val="05CF02C8"/>
    <w:rsid w:val="05FC09BB"/>
    <w:rsid w:val="05FC1FF6"/>
    <w:rsid w:val="0600716C"/>
    <w:rsid w:val="0689114E"/>
    <w:rsid w:val="069F5E1E"/>
    <w:rsid w:val="06F740D7"/>
    <w:rsid w:val="07395E8D"/>
    <w:rsid w:val="074B5C84"/>
    <w:rsid w:val="075F2F29"/>
    <w:rsid w:val="077000C3"/>
    <w:rsid w:val="07B90740"/>
    <w:rsid w:val="07BB3A00"/>
    <w:rsid w:val="07D41943"/>
    <w:rsid w:val="0801326F"/>
    <w:rsid w:val="08491912"/>
    <w:rsid w:val="08872232"/>
    <w:rsid w:val="08A2594A"/>
    <w:rsid w:val="08A65328"/>
    <w:rsid w:val="08B45432"/>
    <w:rsid w:val="09290A18"/>
    <w:rsid w:val="095959ED"/>
    <w:rsid w:val="09957CEF"/>
    <w:rsid w:val="09D31637"/>
    <w:rsid w:val="0A3E778B"/>
    <w:rsid w:val="0A696CA3"/>
    <w:rsid w:val="0A6E7AA1"/>
    <w:rsid w:val="0A8241FE"/>
    <w:rsid w:val="0AC30ABC"/>
    <w:rsid w:val="0ADF2F60"/>
    <w:rsid w:val="0B185348"/>
    <w:rsid w:val="0B53441E"/>
    <w:rsid w:val="0B7A12FF"/>
    <w:rsid w:val="0BCC7041"/>
    <w:rsid w:val="0BCE4148"/>
    <w:rsid w:val="0BE03CF5"/>
    <w:rsid w:val="0C063857"/>
    <w:rsid w:val="0C0A1E59"/>
    <w:rsid w:val="0C11196C"/>
    <w:rsid w:val="0C624C7A"/>
    <w:rsid w:val="0CA53C5C"/>
    <w:rsid w:val="0CEA11EB"/>
    <w:rsid w:val="0D164226"/>
    <w:rsid w:val="0D644895"/>
    <w:rsid w:val="0D6F44A2"/>
    <w:rsid w:val="0D9B7648"/>
    <w:rsid w:val="0DB74FB2"/>
    <w:rsid w:val="0DBC1C25"/>
    <w:rsid w:val="0DDA2C09"/>
    <w:rsid w:val="0E1C7204"/>
    <w:rsid w:val="0E715BFC"/>
    <w:rsid w:val="0EB73426"/>
    <w:rsid w:val="0EEF1FF2"/>
    <w:rsid w:val="0F064AFA"/>
    <w:rsid w:val="0F4B0755"/>
    <w:rsid w:val="0F5D3B62"/>
    <w:rsid w:val="0F60267C"/>
    <w:rsid w:val="0F6625B5"/>
    <w:rsid w:val="0F7A5FD7"/>
    <w:rsid w:val="0F821F44"/>
    <w:rsid w:val="0F8C0453"/>
    <w:rsid w:val="0FC868A4"/>
    <w:rsid w:val="10707096"/>
    <w:rsid w:val="107C08D4"/>
    <w:rsid w:val="108B22A9"/>
    <w:rsid w:val="10A01EBC"/>
    <w:rsid w:val="10DA4496"/>
    <w:rsid w:val="11403AE3"/>
    <w:rsid w:val="11437BB1"/>
    <w:rsid w:val="11474E3D"/>
    <w:rsid w:val="117A03B4"/>
    <w:rsid w:val="11B12566"/>
    <w:rsid w:val="11B458E1"/>
    <w:rsid w:val="11C33AC8"/>
    <w:rsid w:val="11FE7B7B"/>
    <w:rsid w:val="12191EEB"/>
    <w:rsid w:val="12520E26"/>
    <w:rsid w:val="126556A9"/>
    <w:rsid w:val="127B3A0A"/>
    <w:rsid w:val="12D04781"/>
    <w:rsid w:val="12E52922"/>
    <w:rsid w:val="139407D9"/>
    <w:rsid w:val="13B75C48"/>
    <w:rsid w:val="13C965F1"/>
    <w:rsid w:val="140E4FC7"/>
    <w:rsid w:val="14667DD5"/>
    <w:rsid w:val="14A01FCE"/>
    <w:rsid w:val="14FC3351"/>
    <w:rsid w:val="15210267"/>
    <w:rsid w:val="156A6C72"/>
    <w:rsid w:val="157077C3"/>
    <w:rsid w:val="158C20C4"/>
    <w:rsid w:val="15A56A78"/>
    <w:rsid w:val="15A903A0"/>
    <w:rsid w:val="15DA42CF"/>
    <w:rsid w:val="15F924C7"/>
    <w:rsid w:val="160525A7"/>
    <w:rsid w:val="16167308"/>
    <w:rsid w:val="1622556D"/>
    <w:rsid w:val="16242213"/>
    <w:rsid w:val="163F51D7"/>
    <w:rsid w:val="166D772E"/>
    <w:rsid w:val="169E76CB"/>
    <w:rsid w:val="16C77D91"/>
    <w:rsid w:val="171F39BD"/>
    <w:rsid w:val="17433242"/>
    <w:rsid w:val="17671FD7"/>
    <w:rsid w:val="176C11E7"/>
    <w:rsid w:val="17975CDA"/>
    <w:rsid w:val="17A146BE"/>
    <w:rsid w:val="17A54409"/>
    <w:rsid w:val="17AA7502"/>
    <w:rsid w:val="17AE106E"/>
    <w:rsid w:val="17D507B7"/>
    <w:rsid w:val="17DE53ED"/>
    <w:rsid w:val="17E30ED4"/>
    <w:rsid w:val="183E42DB"/>
    <w:rsid w:val="18645BBF"/>
    <w:rsid w:val="18EF31C9"/>
    <w:rsid w:val="192A1C8D"/>
    <w:rsid w:val="193B4C42"/>
    <w:rsid w:val="19871A4C"/>
    <w:rsid w:val="19AA6C69"/>
    <w:rsid w:val="19B1372A"/>
    <w:rsid w:val="1A594E63"/>
    <w:rsid w:val="1A832396"/>
    <w:rsid w:val="1A8A326B"/>
    <w:rsid w:val="1AAC1CCE"/>
    <w:rsid w:val="1AC34CB2"/>
    <w:rsid w:val="1B7710A4"/>
    <w:rsid w:val="1BB86DC1"/>
    <w:rsid w:val="1BC97B91"/>
    <w:rsid w:val="1BE06A0C"/>
    <w:rsid w:val="1C1D59B9"/>
    <w:rsid w:val="1C244B7F"/>
    <w:rsid w:val="1C6646C2"/>
    <w:rsid w:val="1C7967ED"/>
    <w:rsid w:val="1CA86145"/>
    <w:rsid w:val="1CE94C7E"/>
    <w:rsid w:val="1D0532F5"/>
    <w:rsid w:val="1D150560"/>
    <w:rsid w:val="1D360583"/>
    <w:rsid w:val="1D487410"/>
    <w:rsid w:val="1D6E1A37"/>
    <w:rsid w:val="1D84149E"/>
    <w:rsid w:val="1DB42A3B"/>
    <w:rsid w:val="1DBC26DD"/>
    <w:rsid w:val="1DE86980"/>
    <w:rsid w:val="1DF44371"/>
    <w:rsid w:val="1E4075F8"/>
    <w:rsid w:val="1E897C06"/>
    <w:rsid w:val="1EB74037"/>
    <w:rsid w:val="1EC2284F"/>
    <w:rsid w:val="1F0029B7"/>
    <w:rsid w:val="1F24345E"/>
    <w:rsid w:val="1F3842AE"/>
    <w:rsid w:val="1F7C3374"/>
    <w:rsid w:val="1FAFC001"/>
    <w:rsid w:val="1FF867D2"/>
    <w:rsid w:val="201F4443"/>
    <w:rsid w:val="20AD330C"/>
    <w:rsid w:val="20E34A3A"/>
    <w:rsid w:val="214C6DF1"/>
    <w:rsid w:val="21633644"/>
    <w:rsid w:val="216C645B"/>
    <w:rsid w:val="2178236D"/>
    <w:rsid w:val="21953248"/>
    <w:rsid w:val="21AD419B"/>
    <w:rsid w:val="22097EDE"/>
    <w:rsid w:val="22107DBC"/>
    <w:rsid w:val="221F6534"/>
    <w:rsid w:val="22205C81"/>
    <w:rsid w:val="222D46B1"/>
    <w:rsid w:val="22861470"/>
    <w:rsid w:val="22AA170E"/>
    <w:rsid w:val="22BF6562"/>
    <w:rsid w:val="23697708"/>
    <w:rsid w:val="23AA1025"/>
    <w:rsid w:val="23B77011"/>
    <w:rsid w:val="23C87B3C"/>
    <w:rsid w:val="23F166C7"/>
    <w:rsid w:val="23F51C0B"/>
    <w:rsid w:val="243270EF"/>
    <w:rsid w:val="248A1983"/>
    <w:rsid w:val="25192AE6"/>
    <w:rsid w:val="251B7261"/>
    <w:rsid w:val="259D1F52"/>
    <w:rsid w:val="25B82B4F"/>
    <w:rsid w:val="25D408FD"/>
    <w:rsid w:val="25E9039E"/>
    <w:rsid w:val="264A1001"/>
    <w:rsid w:val="265A322F"/>
    <w:rsid w:val="2697496F"/>
    <w:rsid w:val="272A5C8B"/>
    <w:rsid w:val="276759FC"/>
    <w:rsid w:val="2779729D"/>
    <w:rsid w:val="27941C9A"/>
    <w:rsid w:val="27AB5C5A"/>
    <w:rsid w:val="27C42FF0"/>
    <w:rsid w:val="27D433CC"/>
    <w:rsid w:val="27D93818"/>
    <w:rsid w:val="2803773A"/>
    <w:rsid w:val="281C36E3"/>
    <w:rsid w:val="283033C5"/>
    <w:rsid w:val="287443BB"/>
    <w:rsid w:val="28FF2DCF"/>
    <w:rsid w:val="29353417"/>
    <w:rsid w:val="29394450"/>
    <w:rsid w:val="298C3077"/>
    <w:rsid w:val="29B019F2"/>
    <w:rsid w:val="29C438B6"/>
    <w:rsid w:val="29F66C3E"/>
    <w:rsid w:val="2A915AA6"/>
    <w:rsid w:val="2ACB5810"/>
    <w:rsid w:val="2B86189A"/>
    <w:rsid w:val="2BCC4D65"/>
    <w:rsid w:val="2BCD71A1"/>
    <w:rsid w:val="2BD631EC"/>
    <w:rsid w:val="2BE22ADD"/>
    <w:rsid w:val="2BF22FB4"/>
    <w:rsid w:val="2C1F2B9C"/>
    <w:rsid w:val="2C2900AA"/>
    <w:rsid w:val="2C451229"/>
    <w:rsid w:val="2C860392"/>
    <w:rsid w:val="2CAC53E8"/>
    <w:rsid w:val="2CAF0112"/>
    <w:rsid w:val="2CD3767D"/>
    <w:rsid w:val="2D3F1405"/>
    <w:rsid w:val="2D4374CA"/>
    <w:rsid w:val="2D471859"/>
    <w:rsid w:val="2D580381"/>
    <w:rsid w:val="2D635E56"/>
    <w:rsid w:val="2D6A2027"/>
    <w:rsid w:val="2D7E17DD"/>
    <w:rsid w:val="2D9B5C37"/>
    <w:rsid w:val="2DAE293A"/>
    <w:rsid w:val="2E314E5D"/>
    <w:rsid w:val="2E4B3AF4"/>
    <w:rsid w:val="2E8056C5"/>
    <w:rsid w:val="2E8D5B30"/>
    <w:rsid w:val="2EA50040"/>
    <w:rsid w:val="2F111E5D"/>
    <w:rsid w:val="2F3733F4"/>
    <w:rsid w:val="2FA87C95"/>
    <w:rsid w:val="300E0ECE"/>
    <w:rsid w:val="3045617F"/>
    <w:rsid w:val="30946182"/>
    <w:rsid w:val="309D11E3"/>
    <w:rsid w:val="30DF546A"/>
    <w:rsid w:val="30FF1723"/>
    <w:rsid w:val="311C7346"/>
    <w:rsid w:val="313C0FC6"/>
    <w:rsid w:val="315935F5"/>
    <w:rsid w:val="31A741EB"/>
    <w:rsid w:val="32386D4E"/>
    <w:rsid w:val="32431023"/>
    <w:rsid w:val="325E0B39"/>
    <w:rsid w:val="32702D2B"/>
    <w:rsid w:val="3273213B"/>
    <w:rsid w:val="32A6265D"/>
    <w:rsid w:val="32BE3C0B"/>
    <w:rsid w:val="32CC0FD3"/>
    <w:rsid w:val="32E8401E"/>
    <w:rsid w:val="32F47334"/>
    <w:rsid w:val="332E5871"/>
    <w:rsid w:val="334C235C"/>
    <w:rsid w:val="33BE2874"/>
    <w:rsid w:val="33EE6AFF"/>
    <w:rsid w:val="34036F54"/>
    <w:rsid w:val="3436401C"/>
    <w:rsid w:val="347C1A70"/>
    <w:rsid w:val="35110274"/>
    <w:rsid w:val="353D7AD2"/>
    <w:rsid w:val="35976A47"/>
    <w:rsid w:val="359B6E5F"/>
    <w:rsid w:val="35A25CB6"/>
    <w:rsid w:val="35C62EAF"/>
    <w:rsid w:val="36355A50"/>
    <w:rsid w:val="36B55816"/>
    <w:rsid w:val="36F2168E"/>
    <w:rsid w:val="36FF2BFD"/>
    <w:rsid w:val="370C0499"/>
    <w:rsid w:val="380E71EB"/>
    <w:rsid w:val="38106B12"/>
    <w:rsid w:val="38126881"/>
    <w:rsid w:val="38235CAB"/>
    <w:rsid w:val="38453BA0"/>
    <w:rsid w:val="3848764C"/>
    <w:rsid w:val="384D465E"/>
    <w:rsid w:val="399613A6"/>
    <w:rsid w:val="39AB70AC"/>
    <w:rsid w:val="39C231C3"/>
    <w:rsid w:val="39F7158C"/>
    <w:rsid w:val="3A927827"/>
    <w:rsid w:val="3AD2068D"/>
    <w:rsid w:val="3B203B97"/>
    <w:rsid w:val="3B2514AC"/>
    <w:rsid w:val="3B5747F3"/>
    <w:rsid w:val="3B666B6D"/>
    <w:rsid w:val="3B935D95"/>
    <w:rsid w:val="3BD36727"/>
    <w:rsid w:val="3BFE782A"/>
    <w:rsid w:val="3C0B2AFC"/>
    <w:rsid w:val="3C1C5950"/>
    <w:rsid w:val="3C3E0CB3"/>
    <w:rsid w:val="3C8C50FF"/>
    <w:rsid w:val="3D081395"/>
    <w:rsid w:val="3D1000C1"/>
    <w:rsid w:val="3D3A6736"/>
    <w:rsid w:val="3DF17170"/>
    <w:rsid w:val="3E1D3B1F"/>
    <w:rsid w:val="3E260EE0"/>
    <w:rsid w:val="3E3A757B"/>
    <w:rsid w:val="3E483561"/>
    <w:rsid w:val="3E79A74A"/>
    <w:rsid w:val="3E822AF8"/>
    <w:rsid w:val="3EBC0045"/>
    <w:rsid w:val="3EDFE363"/>
    <w:rsid w:val="3EFA71EC"/>
    <w:rsid w:val="3EFF6DF8"/>
    <w:rsid w:val="3F3F3BC7"/>
    <w:rsid w:val="3F424B14"/>
    <w:rsid w:val="3F8602FD"/>
    <w:rsid w:val="3FBFDD56"/>
    <w:rsid w:val="3FC84F1C"/>
    <w:rsid w:val="3FD56AA8"/>
    <w:rsid w:val="3FFF4D0D"/>
    <w:rsid w:val="40262E71"/>
    <w:rsid w:val="404A48B4"/>
    <w:rsid w:val="405F42A5"/>
    <w:rsid w:val="406014EB"/>
    <w:rsid w:val="407F57EC"/>
    <w:rsid w:val="40900D79"/>
    <w:rsid w:val="40A947BF"/>
    <w:rsid w:val="40DE15C4"/>
    <w:rsid w:val="40E11BDB"/>
    <w:rsid w:val="41666957"/>
    <w:rsid w:val="4171466C"/>
    <w:rsid w:val="4191487A"/>
    <w:rsid w:val="41D6237C"/>
    <w:rsid w:val="42010F5A"/>
    <w:rsid w:val="42645612"/>
    <w:rsid w:val="427714BC"/>
    <w:rsid w:val="428D03D7"/>
    <w:rsid w:val="42996873"/>
    <w:rsid w:val="429F6C15"/>
    <w:rsid w:val="42A346AD"/>
    <w:rsid w:val="42CC3764"/>
    <w:rsid w:val="42CE7CF4"/>
    <w:rsid w:val="42F82E1F"/>
    <w:rsid w:val="430B36CA"/>
    <w:rsid w:val="43374693"/>
    <w:rsid w:val="43C95886"/>
    <w:rsid w:val="43D27297"/>
    <w:rsid w:val="43DE1584"/>
    <w:rsid w:val="441B22BD"/>
    <w:rsid w:val="442022A1"/>
    <w:rsid w:val="443D319B"/>
    <w:rsid w:val="444479AC"/>
    <w:rsid w:val="446E224C"/>
    <w:rsid w:val="45183C7E"/>
    <w:rsid w:val="45234753"/>
    <w:rsid w:val="452C356D"/>
    <w:rsid w:val="453E3FCF"/>
    <w:rsid w:val="4561565B"/>
    <w:rsid w:val="45624F2C"/>
    <w:rsid w:val="45A31272"/>
    <w:rsid w:val="45E92640"/>
    <w:rsid w:val="45ED3810"/>
    <w:rsid w:val="45FD0469"/>
    <w:rsid w:val="45FE177F"/>
    <w:rsid w:val="4605501B"/>
    <w:rsid w:val="461836A8"/>
    <w:rsid w:val="46803946"/>
    <w:rsid w:val="46CF245C"/>
    <w:rsid w:val="470B2122"/>
    <w:rsid w:val="47481B5C"/>
    <w:rsid w:val="476C20B2"/>
    <w:rsid w:val="476C7228"/>
    <w:rsid w:val="477C35AB"/>
    <w:rsid w:val="47B575E1"/>
    <w:rsid w:val="47FE6AEB"/>
    <w:rsid w:val="48260632"/>
    <w:rsid w:val="483D1EE6"/>
    <w:rsid w:val="48435348"/>
    <w:rsid w:val="487315B6"/>
    <w:rsid w:val="488C5B18"/>
    <w:rsid w:val="48B83147"/>
    <w:rsid w:val="49182FF0"/>
    <w:rsid w:val="4926257F"/>
    <w:rsid w:val="493A397F"/>
    <w:rsid w:val="4966775D"/>
    <w:rsid w:val="49931F08"/>
    <w:rsid w:val="49945FC5"/>
    <w:rsid w:val="49AE6232"/>
    <w:rsid w:val="49D817BD"/>
    <w:rsid w:val="49FA53CF"/>
    <w:rsid w:val="4AC26494"/>
    <w:rsid w:val="4AC973BD"/>
    <w:rsid w:val="4ADD6EE8"/>
    <w:rsid w:val="4AEB3D37"/>
    <w:rsid w:val="4B624D5E"/>
    <w:rsid w:val="4B9D649F"/>
    <w:rsid w:val="4BA8689E"/>
    <w:rsid w:val="4BAF13BF"/>
    <w:rsid w:val="4BC04B7B"/>
    <w:rsid w:val="4C23303B"/>
    <w:rsid w:val="4C2802AC"/>
    <w:rsid w:val="4C49584F"/>
    <w:rsid w:val="4C6750E2"/>
    <w:rsid w:val="4C6F2B96"/>
    <w:rsid w:val="4CCD259E"/>
    <w:rsid w:val="4D023028"/>
    <w:rsid w:val="4D0632FB"/>
    <w:rsid w:val="4D2F7135"/>
    <w:rsid w:val="4D331EC0"/>
    <w:rsid w:val="4D6D2CEB"/>
    <w:rsid w:val="4DA07D54"/>
    <w:rsid w:val="4DEB051C"/>
    <w:rsid w:val="4DF11022"/>
    <w:rsid w:val="4E034687"/>
    <w:rsid w:val="4E0723CB"/>
    <w:rsid w:val="4E220822"/>
    <w:rsid w:val="4E332C59"/>
    <w:rsid w:val="4E423E06"/>
    <w:rsid w:val="4E423FAD"/>
    <w:rsid w:val="4E995BF3"/>
    <w:rsid w:val="4F3305E1"/>
    <w:rsid w:val="4F5F2D2C"/>
    <w:rsid w:val="4F911CA1"/>
    <w:rsid w:val="5000090F"/>
    <w:rsid w:val="50423646"/>
    <w:rsid w:val="50EA31FE"/>
    <w:rsid w:val="512D4FF3"/>
    <w:rsid w:val="5179187F"/>
    <w:rsid w:val="5209191A"/>
    <w:rsid w:val="522F7629"/>
    <w:rsid w:val="52593936"/>
    <w:rsid w:val="525C4B6C"/>
    <w:rsid w:val="52932EF2"/>
    <w:rsid w:val="52B83CAC"/>
    <w:rsid w:val="52C81C26"/>
    <w:rsid w:val="53251428"/>
    <w:rsid w:val="534F37FD"/>
    <w:rsid w:val="53750DCF"/>
    <w:rsid w:val="537FEDE1"/>
    <w:rsid w:val="53972129"/>
    <w:rsid w:val="53B944B3"/>
    <w:rsid w:val="53D535D0"/>
    <w:rsid w:val="53DF072C"/>
    <w:rsid w:val="53F57E81"/>
    <w:rsid w:val="544C4F51"/>
    <w:rsid w:val="546969E6"/>
    <w:rsid w:val="54901A58"/>
    <w:rsid w:val="54904287"/>
    <w:rsid w:val="549F1709"/>
    <w:rsid w:val="54AD1BA8"/>
    <w:rsid w:val="5559496E"/>
    <w:rsid w:val="555F7443"/>
    <w:rsid w:val="556D3B35"/>
    <w:rsid w:val="556F00BB"/>
    <w:rsid w:val="55810E75"/>
    <w:rsid w:val="55993187"/>
    <w:rsid w:val="559A486F"/>
    <w:rsid w:val="55FFF8EB"/>
    <w:rsid w:val="567C3E8E"/>
    <w:rsid w:val="56927CD7"/>
    <w:rsid w:val="56BA0CCA"/>
    <w:rsid w:val="5714206B"/>
    <w:rsid w:val="572A6632"/>
    <w:rsid w:val="573A5942"/>
    <w:rsid w:val="57576899"/>
    <w:rsid w:val="57B872B4"/>
    <w:rsid w:val="57CB6C46"/>
    <w:rsid w:val="580B4A8A"/>
    <w:rsid w:val="580E67A6"/>
    <w:rsid w:val="581D0437"/>
    <w:rsid w:val="58B25789"/>
    <w:rsid w:val="59577362"/>
    <w:rsid w:val="596B04A9"/>
    <w:rsid w:val="59B44245"/>
    <w:rsid w:val="59D26FF5"/>
    <w:rsid w:val="59FF3C7A"/>
    <w:rsid w:val="5A1D41EA"/>
    <w:rsid w:val="5A2800FD"/>
    <w:rsid w:val="5A3C49BA"/>
    <w:rsid w:val="5A5115CA"/>
    <w:rsid w:val="5A8679D0"/>
    <w:rsid w:val="5AC03661"/>
    <w:rsid w:val="5AC8534B"/>
    <w:rsid w:val="5B0936FC"/>
    <w:rsid w:val="5B156BD3"/>
    <w:rsid w:val="5B3A5EA4"/>
    <w:rsid w:val="5B5E79F5"/>
    <w:rsid w:val="5BC67221"/>
    <w:rsid w:val="5BEBC78F"/>
    <w:rsid w:val="5C3C0AFB"/>
    <w:rsid w:val="5C535584"/>
    <w:rsid w:val="5C874135"/>
    <w:rsid w:val="5CAC485E"/>
    <w:rsid w:val="5CC80082"/>
    <w:rsid w:val="5CCC52EF"/>
    <w:rsid w:val="5CCE2C59"/>
    <w:rsid w:val="5CF12543"/>
    <w:rsid w:val="5D0E0E30"/>
    <w:rsid w:val="5D3219A7"/>
    <w:rsid w:val="5D8E1B19"/>
    <w:rsid w:val="5DD7159C"/>
    <w:rsid w:val="5DE7F196"/>
    <w:rsid w:val="5E0354EF"/>
    <w:rsid w:val="5E190FCF"/>
    <w:rsid w:val="5E2E2D9B"/>
    <w:rsid w:val="5E3F206B"/>
    <w:rsid w:val="5E6879E3"/>
    <w:rsid w:val="5E7153BD"/>
    <w:rsid w:val="5EF9179D"/>
    <w:rsid w:val="5F6436B0"/>
    <w:rsid w:val="5F993C4E"/>
    <w:rsid w:val="5FD070A2"/>
    <w:rsid w:val="5FF4454A"/>
    <w:rsid w:val="5FFF608D"/>
    <w:rsid w:val="600064A8"/>
    <w:rsid w:val="602404CA"/>
    <w:rsid w:val="60461F03"/>
    <w:rsid w:val="606229E4"/>
    <w:rsid w:val="60692762"/>
    <w:rsid w:val="606B7FD3"/>
    <w:rsid w:val="60BF3BE8"/>
    <w:rsid w:val="60CB2C24"/>
    <w:rsid w:val="610D7258"/>
    <w:rsid w:val="61257C9F"/>
    <w:rsid w:val="613244B1"/>
    <w:rsid w:val="62215D94"/>
    <w:rsid w:val="62572E4D"/>
    <w:rsid w:val="62D7137C"/>
    <w:rsid w:val="62E01CD1"/>
    <w:rsid w:val="62E35EC0"/>
    <w:rsid w:val="633C58FC"/>
    <w:rsid w:val="63597A89"/>
    <w:rsid w:val="63B9225E"/>
    <w:rsid w:val="644002C9"/>
    <w:rsid w:val="645125DB"/>
    <w:rsid w:val="64753E4E"/>
    <w:rsid w:val="648A7784"/>
    <w:rsid w:val="649D082D"/>
    <w:rsid w:val="64B83265"/>
    <w:rsid w:val="64C51B90"/>
    <w:rsid w:val="64F546EE"/>
    <w:rsid w:val="652D280A"/>
    <w:rsid w:val="656FC68B"/>
    <w:rsid w:val="659D758C"/>
    <w:rsid w:val="65AD1117"/>
    <w:rsid w:val="66075126"/>
    <w:rsid w:val="66432F10"/>
    <w:rsid w:val="668274ED"/>
    <w:rsid w:val="668A0354"/>
    <w:rsid w:val="66B17485"/>
    <w:rsid w:val="66EC22D5"/>
    <w:rsid w:val="678C4FE6"/>
    <w:rsid w:val="67AE0BE6"/>
    <w:rsid w:val="67E13F8E"/>
    <w:rsid w:val="683A3943"/>
    <w:rsid w:val="685314D4"/>
    <w:rsid w:val="6866250E"/>
    <w:rsid w:val="68985DCC"/>
    <w:rsid w:val="68B66D41"/>
    <w:rsid w:val="69DD4D83"/>
    <w:rsid w:val="69E933A1"/>
    <w:rsid w:val="6A296ED1"/>
    <w:rsid w:val="6A385E52"/>
    <w:rsid w:val="6A4D41E9"/>
    <w:rsid w:val="6A7037D8"/>
    <w:rsid w:val="6AAE6B60"/>
    <w:rsid w:val="6AEA7C1E"/>
    <w:rsid w:val="6AF41C97"/>
    <w:rsid w:val="6AFD40A6"/>
    <w:rsid w:val="6B3F213B"/>
    <w:rsid w:val="6B4A22F0"/>
    <w:rsid w:val="6B624B5F"/>
    <w:rsid w:val="6B6636D6"/>
    <w:rsid w:val="6B6E3C9A"/>
    <w:rsid w:val="6B6E6E35"/>
    <w:rsid w:val="6B850E04"/>
    <w:rsid w:val="6B8C4CD7"/>
    <w:rsid w:val="6B97687A"/>
    <w:rsid w:val="6C07254E"/>
    <w:rsid w:val="6C3E209D"/>
    <w:rsid w:val="6C874EBC"/>
    <w:rsid w:val="6CDA295A"/>
    <w:rsid w:val="6D11410E"/>
    <w:rsid w:val="6D783998"/>
    <w:rsid w:val="6DA909BB"/>
    <w:rsid w:val="6DB01448"/>
    <w:rsid w:val="6DD11CBC"/>
    <w:rsid w:val="6DD6BB1D"/>
    <w:rsid w:val="6DDE4734"/>
    <w:rsid w:val="6E202751"/>
    <w:rsid w:val="6E5F2C60"/>
    <w:rsid w:val="6E814F55"/>
    <w:rsid w:val="6E8804EB"/>
    <w:rsid w:val="6EC76717"/>
    <w:rsid w:val="6EF6013C"/>
    <w:rsid w:val="6EFF78CA"/>
    <w:rsid w:val="6F141E38"/>
    <w:rsid w:val="6F260569"/>
    <w:rsid w:val="6F3C7488"/>
    <w:rsid w:val="6F863B6E"/>
    <w:rsid w:val="6F9F73C6"/>
    <w:rsid w:val="6FB670A7"/>
    <w:rsid w:val="70010752"/>
    <w:rsid w:val="70035116"/>
    <w:rsid w:val="704B7BBF"/>
    <w:rsid w:val="704D2B19"/>
    <w:rsid w:val="70980E68"/>
    <w:rsid w:val="709D443E"/>
    <w:rsid w:val="709D49EA"/>
    <w:rsid w:val="70CC205A"/>
    <w:rsid w:val="70D65298"/>
    <w:rsid w:val="70E23A6B"/>
    <w:rsid w:val="70F07647"/>
    <w:rsid w:val="711A3321"/>
    <w:rsid w:val="71753655"/>
    <w:rsid w:val="724D4CC8"/>
    <w:rsid w:val="724F6617"/>
    <w:rsid w:val="725B002B"/>
    <w:rsid w:val="729D2B3E"/>
    <w:rsid w:val="72B30E3B"/>
    <w:rsid w:val="735E0C3E"/>
    <w:rsid w:val="73753B7C"/>
    <w:rsid w:val="73852B6D"/>
    <w:rsid w:val="738E0B25"/>
    <w:rsid w:val="73D944E2"/>
    <w:rsid w:val="73F1253E"/>
    <w:rsid w:val="73FDFB55"/>
    <w:rsid w:val="740219D9"/>
    <w:rsid w:val="743E40D0"/>
    <w:rsid w:val="745E3C59"/>
    <w:rsid w:val="746779E6"/>
    <w:rsid w:val="748D7AE7"/>
    <w:rsid w:val="74945856"/>
    <w:rsid w:val="74BE79C9"/>
    <w:rsid w:val="74C215C2"/>
    <w:rsid w:val="750177E7"/>
    <w:rsid w:val="75264AC1"/>
    <w:rsid w:val="753D560F"/>
    <w:rsid w:val="754155A2"/>
    <w:rsid w:val="75C0634A"/>
    <w:rsid w:val="75C6564F"/>
    <w:rsid w:val="75D027E8"/>
    <w:rsid w:val="75D57EAC"/>
    <w:rsid w:val="75EC6ED0"/>
    <w:rsid w:val="75FF7950"/>
    <w:rsid w:val="762A246F"/>
    <w:rsid w:val="76421000"/>
    <w:rsid w:val="76690394"/>
    <w:rsid w:val="767ED917"/>
    <w:rsid w:val="76B31C45"/>
    <w:rsid w:val="771D15D1"/>
    <w:rsid w:val="7749684B"/>
    <w:rsid w:val="7759301A"/>
    <w:rsid w:val="77646632"/>
    <w:rsid w:val="77CE5FF4"/>
    <w:rsid w:val="784455A5"/>
    <w:rsid w:val="7867447D"/>
    <w:rsid w:val="78D95498"/>
    <w:rsid w:val="78E773A2"/>
    <w:rsid w:val="78F52567"/>
    <w:rsid w:val="78FA1A6C"/>
    <w:rsid w:val="79BC1307"/>
    <w:rsid w:val="79D35C18"/>
    <w:rsid w:val="7A112E86"/>
    <w:rsid w:val="7A4D6E3F"/>
    <w:rsid w:val="7A7D3FDE"/>
    <w:rsid w:val="7AC03BFC"/>
    <w:rsid w:val="7AFD5CB4"/>
    <w:rsid w:val="7B4A03D4"/>
    <w:rsid w:val="7B4A5CC0"/>
    <w:rsid w:val="7B4C7B8C"/>
    <w:rsid w:val="7B7431DB"/>
    <w:rsid w:val="7B910BC4"/>
    <w:rsid w:val="7BA0704F"/>
    <w:rsid w:val="7BB93FC1"/>
    <w:rsid w:val="7BD37957"/>
    <w:rsid w:val="7BDCF537"/>
    <w:rsid w:val="7BDF1DD8"/>
    <w:rsid w:val="7C432B6A"/>
    <w:rsid w:val="7C510157"/>
    <w:rsid w:val="7C96A96A"/>
    <w:rsid w:val="7CBF4F20"/>
    <w:rsid w:val="7CCA3711"/>
    <w:rsid w:val="7D146479"/>
    <w:rsid w:val="7D2409CB"/>
    <w:rsid w:val="7D276A78"/>
    <w:rsid w:val="7D28508F"/>
    <w:rsid w:val="7D2FC705"/>
    <w:rsid w:val="7D5BE978"/>
    <w:rsid w:val="7DA3491C"/>
    <w:rsid w:val="7DB84CDC"/>
    <w:rsid w:val="7DCA75C3"/>
    <w:rsid w:val="7DEB1584"/>
    <w:rsid w:val="7DFF5C99"/>
    <w:rsid w:val="7E1B786E"/>
    <w:rsid w:val="7E367F92"/>
    <w:rsid w:val="7E497BDF"/>
    <w:rsid w:val="7E4F115A"/>
    <w:rsid w:val="7E5B3E9B"/>
    <w:rsid w:val="7E5C5D01"/>
    <w:rsid w:val="7EB73EB4"/>
    <w:rsid w:val="7ECE0EBC"/>
    <w:rsid w:val="7EF32E2E"/>
    <w:rsid w:val="7EFB1991"/>
    <w:rsid w:val="7EFC1136"/>
    <w:rsid w:val="7EFF05E3"/>
    <w:rsid w:val="7F2E097B"/>
    <w:rsid w:val="7F604E58"/>
    <w:rsid w:val="7F804734"/>
    <w:rsid w:val="7F9FF0E6"/>
    <w:rsid w:val="7FBA2366"/>
    <w:rsid w:val="7FBE44DD"/>
    <w:rsid w:val="7FBE69BE"/>
    <w:rsid w:val="7FC57A2B"/>
    <w:rsid w:val="7FEDDCA4"/>
    <w:rsid w:val="7FEF641E"/>
    <w:rsid w:val="7FF02B9A"/>
    <w:rsid w:val="7FFB2893"/>
    <w:rsid w:val="9B8C00E9"/>
    <w:rsid w:val="AECFAA31"/>
    <w:rsid w:val="AEF7F67C"/>
    <w:rsid w:val="B3FF078C"/>
    <w:rsid w:val="B7CFF0A7"/>
    <w:rsid w:val="BADF4653"/>
    <w:rsid w:val="BBCE4D31"/>
    <w:rsid w:val="BBF56F26"/>
    <w:rsid w:val="CDFFB00E"/>
    <w:rsid w:val="D6FB70FF"/>
    <w:rsid w:val="DBFFCF2E"/>
    <w:rsid w:val="DFBDA84D"/>
    <w:rsid w:val="E3FF9CED"/>
    <w:rsid w:val="E79E95DB"/>
    <w:rsid w:val="EAFF703B"/>
    <w:rsid w:val="EEFEE1C4"/>
    <w:rsid w:val="EF3F8DF0"/>
    <w:rsid w:val="EF6FD704"/>
    <w:rsid w:val="EFB2A838"/>
    <w:rsid w:val="EFEBA485"/>
    <w:rsid w:val="F5EF9C55"/>
    <w:rsid w:val="F6266865"/>
    <w:rsid w:val="F6E164C7"/>
    <w:rsid w:val="F79FE5BA"/>
    <w:rsid w:val="F7AE01C1"/>
    <w:rsid w:val="FBDD2BC5"/>
    <w:rsid w:val="FC5F56D1"/>
    <w:rsid w:val="FD2BD355"/>
    <w:rsid w:val="FD7F28D2"/>
    <w:rsid w:val="FDEBB49A"/>
    <w:rsid w:val="FDF3EDE4"/>
    <w:rsid w:val="FDF7C466"/>
    <w:rsid w:val="FDFC4CC3"/>
    <w:rsid w:val="FE9F639E"/>
    <w:rsid w:val="FEF56408"/>
    <w:rsid w:val="FF3EC9AF"/>
    <w:rsid w:val="FF59EB1D"/>
    <w:rsid w:val="FF8F4FDC"/>
    <w:rsid w:val="FFB7FEA3"/>
    <w:rsid w:val="FFF9367F"/>
    <w:rsid w:val="FFFF13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4">
    <w:name w:val="Balloon Text"/>
    <w:basedOn w:val="1"/>
    <w:link w:val="13"/>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_Style 1"/>
    <w:basedOn w:val="1"/>
    <w:qFormat/>
    <w:uiPriority w:val="0"/>
    <w:pPr>
      <w:ind w:firstLine="420" w:firstLineChars="200"/>
    </w:pPr>
    <w:rPr>
      <w:rFonts w:ascii="宋体" w:hAnsi="Calibri" w:eastAsia="宋体" w:cs="Times New Roman"/>
      <w:sz w:val="24"/>
    </w:rPr>
  </w:style>
  <w:style w:type="paragraph" w:customStyle="1" w:styleId="10">
    <w:name w:val="_Style 3"/>
    <w:basedOn w:val="1"/>
    <w:qFormat/>
    <w:uiPriority w:val="0"/>
    <w:pPr>
      <w:ind w:firstLine="420" w:firstLineChars="200"/>
    </w:pPr>
    <w:rPr>
      <w:rFonts w:ascii="宋体" w:hAnsi="Calibri" w:eastAsia="宋体" w:cs="Times New Roman"/>
      <w:sz w:val="24"/>
    </w:rPr>
  </w:style>
  <w:style w:type="character" w:customStyle="1" w:styleId="11">
    <w:name w:val="页眉 字符"/>
    <w:basedOn w:val="8"/>
    <w:link w:val="6"/>
    <w:qFormat/>
    <w:uiPriority w:val="99"/>
    <w:rPr>
      <w:rFonts w:asciiTheme="minorHAnsi" w:hAnsiTheme="minorHAnsi" w:eastAsiaTheme="minorEastAsia" w:cstheme="minorBidi"/>
      <w:kern w:val="2"/>
      <w:sz w:val="18"/>
      <w:szCs w:val="18"/>
    </w:rPr>
  </w:style>
  <w:style w:type="character" w:customStyle="1" w:styleId="12">
    <w:name w:val="页脚 字符"/>
    <w:basedOn w:val="8"/>
    <w:link w:val="5"/>
    <w:qFormat/>
    <w:uiPriority w:val="99"/>
    <w:rPr>
      <w:rFonts w:asciiTheme="minorHAnsi" w:hAnsiTheme="minorHAnsi" w:eastAsiaTheme="minorEastAsia" w:cstheme="minorBidi"/>
      <w:kern w:val="2"/>
      <w:sz w:val="18"/>
      <w:szCs w:val="18"/>
    </w:rPr>
  </w:style>
  <w:style w:type="character" w:customStyle="1" w:styleId="13">
    <w:name w:val="批注框文本 字符"/>
    <w:basedOn w:val="8"/>
    <w:link w:val="4"/>
    <w:qFormat/>
    <w:uiPriority w:val="0"/>
    <w:rPr>
      <w:rFonts w:asciiTheme="minorHAnsi" w:hAnsiTheme="minorHAnsi" w:eastAsiaTheme="minorEastAsia" w:cstheme="minorBidi"/>
      <w:kern w:val="2"/>
      <w:sz w:val="18"/>
      <w:szCs w:val="18"/>
    </w:rPr>
  </w:style>
  <w:style w:type="paragraph" w:customStyle="1" w:styleId="14">
    <w:name w:val="Revision"/>
    <w:hidden/>
    <w:unhideWhenUsed/>
    <w:qFormat/>
    <w:uiPriority w:val="99"/>
    <w:pPr>
      <w:spacing w:after="0" w:line="240" w:lineRule="auto"/>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LYT</Company>
  <Pages>8</Pages>
  <Words>3732</Words>
  <Characters>4197</Characters>
  <Lines>33</Lines>
  <Paragraphs>9</Paragraphs>
  <TotalTime>12</TotalTime>
  <ScaleCrop>false</ScaleCrop>
  <LinksUpToDate>false</LinksUpToDate>
  <CharactersWithSpaces>4202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2018-06-09T02:15:00Z</dcterms:created>
  <dc:creator>Root</dc:creator>
  <cp:lastModifiedBy>汪雄英</cp:lastModifiedBy>
  <cp:lastPrinted>2021-04-05T01:32:00Z</cp:lastPrinted>
  <dcterms:modified xsi:type="dcterms:W3CDTF">2024-04-02T06:09:59Z</dcterms:modified>
  <dc:title>浙江省财政厅</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BDD7FF5F70934598BD633B0F11AF55E6</vt:lpwstr>
  </property>
</Properties>
</file>